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82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sz w:val="28"/>
          <w:szCs w:val="28"/>
          <w:lang w:eastAsia="zh-CN"/>
        </w:rPr>
      </w:pPr>
      <w:r>
        <w:rPr>
          <w:rFonts w:hint="default" w:ascii="黑体" w:hAnsi="黑体" w:eastAsia="黑体" w:cs="黑体"/>
          <w:b/>
          <w:bCs/>
          <w:color w:val="auto"/>
          <w:sz w:val="28"/>
          <w:szCs w:val="28"/>
          <w:lang w:eastAsia="zh-CN"/>
        </w:rPr>
        <w:t>红曲</w:t>
      </w:r>
      <w:r>
        <w:rPr>
          <w:rFonts w:hint="default" w:ascii="黑体" w:hAnsi="黑体" w:eastAsia="黑体" w:cs="黑体"/>
          <w:b/>
          <w:bCs/>
          <w:color w:val="auto"/>
          <w:sz w:val="28"/>
          <w:szCs w:val="28"/>
          <w:lang w:eastAsia="zh-CN"/>
        </w:rPr>
        <w:t>配方颗粒</w:t>
      </w:r>
    </w:p>
    <w:p w14:paraId="7FBA2B1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Hongqu Peifangkeli</w:t>
      </w:r>
    </w:p>
    <w:p w14:paraId="0B6A5C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24"/>
          <w:szCs w:val="24"/>
          <w:lang w:val="en-US" w:eastAsia="zh-CN"/>
        </w:rPr>
      </w:pPr>
    </w:p>
    <w:p w14:paraId="046D1F8F">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bCs/>
          <w:sz w:val="21"/>
          <w:szCs w:val="21"/>
        </w:rPr>
        <w:t>来源</w:t>
      </w: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lang w:val="en-US" w:eastAsia="zh-CN"/>
        </w:rPr>
        <w:t>本品为</w:t>
      </w:r>
      <w:r>
        <w:rPr>
          <w:rFonts w:hint="default" w:ascii="Times New Roman" w:hAnsi="Times New Roman" w:eastAsia="宋体" w:cs="Times New Roman"/>
          <w:sz w:val="21"/>
          <w:szCs w:val="21"/>
        </w:rPr>
        <w:t>曲霉科真菌紫色红曲霉</w:t>
      </w:r>
      <w:r>
        <w:rPr>
          <w:rFonts w:hint="default" w:ascii="Times New Roman" w:hAnsi="Times New Roman" w:eastAsia="宋体" w:cs="Times New Roman"/>
          <w:i/>
          <w:iCs/>
          <w:sz w:val="21"/>
          <w:szCs w:val="21"/>
        </w:rPr>
        <w:t xml:space="preserve">Monascus purpureus </w:t>
      </w:r>
      <w:r>
        <w:rPr>
          <w:rFonts w:hint="default" w:ascii="Times New Roman" w:hAnsi="Times New Roman" w:eastAsia="宋体" w:cs="Times New Roman"/>
          <w:sz w:val="21"/>
          <w:szCs w:val="21"/>
        </w:rPr>
        <w:t>Went接种在禾本科植物稻</w:t>
      </w:r>
      <w:r>
        <w:rPr>
          <w:rFonts w:hint="default" w:ascii="Times New Roman" w:hAnsi="Times New Roman" w:eastAsia="宋体" w:cs="Times New Roman"/>
          <w:i/>
          <w:iCs/>
          <w:sz w:val="21"/>
          <w:szCs w:val="21"/>
        </w:rPr>
        <w:t>Oryza sativa</w:t>
      </w:r>
      <w:r>
        <w:rPr>
          <w:rFonts w:hint="default" w:ascii="Times New Roman" w:hAnsi="Times New Roman" w:eastAsia="宋体" w:cs="Times New Roman"/>
          <w:sz w:val="21"/>
          <w:szCs w:val="21"/>
        </w:rPr>
        <w:t xml:space="preserve"> L. 蒸熟的种仁上发酵而成的红曲米经炮制并按标准汤剂的主要质量指标加工制成的配方颗粒。</w:t>
      </w:r>
    </w:p>
    <w:p w14:paraId="2A9C89A1">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sz w:val="21"/>
          <w:szCs w:val="21"/>
          <w:highlight w:val="none"/>
        </w:rPr>
        <w:t>【</w:t>
      </w:r>
      <w:r>
        <w:rPr>
          <w:rFonts w:hint="default" w:ascii="Times New Roman" w:hAnsi="Times New Roman" w:eastAsia="宋体" w:cs="Times New Roman"/>
          <w:b/>
          <w:sz w:val="21"/>
          <w:szCs w:val="21"/>
          <w:highlight w:val="none"/>
        </w:rPr>
        <w:t>制法</w:t>
      </w:r>
      <w:r>
        <w:rPr>
          <w:rFonts w:hint="default" w:ascii="Times New Roman" w:hAnsi="Times New Roman" w:eastAsia="宋体" w:cs="Times New Roman"/>
          <w:b w:val="0"/>
          <w:bCs/>
          <w:sz w:val="21"/>
          <w:szCs w:val="21"/>
          <w:highlight w:val="none"/>
        </w:rPr>
        <w:t>】</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sz w:val="21"/>
          <w:szCs w:val="21"/>
          <w:highlight w:val="none"/>
        </w:rPr>
        <w:t>取红曲饮片3000g，加水煎煮，滤过，滤液浓缩成清膏（干浸膏出膏率为17.0%~33.3%），加入辅料适量，干燥（或干燥，粉碎），再加入辅料适量，混匀，制粒，制成1000g，即得</w:t>
      </w:r>
      <w:r>
        <w:rPr>
          <w:rFonts w:hint="default" w:ascii="Times New Roman" w:hAnsi="Times New Roman" w:eastAsia="宋体" w:cs="Times New Roman"/>
          <w:sz w:val="21"/>
          <w:szCs w:val="21"/>
          <w:highlight w:val="none"/>
          <w:lang w:eastAsia="zh-CN"/>
        </w:rPr>
        <w:t>。</w:t>
      </w:r>
    </w:p>
    <w:p w14:paraId="617770AB">
      <w:pPr>
        <w:keepNext w:val="0"/>
        <w:keepLines w:val="0"/>
        <w:pageBreakBefore w:val="0"/>
        <w:kinsoku/>
        <w:wordWrap/>
        <w:overflowPunct/>
        <w:topLinePunct w:val="0"/>
        <w:bidi w:val="0"/>
        <w:adjustRightInd/>
        <w:snapToGrid/>
        <w:spacing w:line="360" w:lineRule="auto"/>
        <w:ind w:firstLine="42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性状</w:t>
      </w:r>
      <w:r>
        <w:rPr>
          <w:rFonts w:hint="default" w:ascii="Times New Roman" w:hAnsi="Times New Roman" w:eastAsia="宋体" w:cs="Times New Roman"/>
          <w:sz w:val="21"/>
          <w:szCs w:val="21"/>
        </w:rPr>
        <w:t xml:space="preserve">】 </w:t>
      </w:r>
      <w:r>
        <w:rPr>
          <w:rFonts w:hint="default" w:ascii="Times New Roman" w:hAnsi="Times New Roman" w:eastAsia="宋体" w:cs="Times New Roman"/>
          <w:color w:val="auto"/>
          <w:sz w:val="21"/>
          <w:szCs w:val="21"/>
        </w:rPr>
        <w:t>本品为棕红色至暗红色的颗粒；气微，味微苦</w:t>
      </w:r>
      <w:r>
        <w:rPr>
          <w:rFonts w:hint="default" w:ascii="Times New Roman" w:hAnsi="Times New Roman" w:eastAsia="宋体" w:cs="Times New Roman"/>
          <w:sz w:val="21"/>
          <w:szCs w:val="21"/>
        </w:rPr>
        <w:t>。</w:t>
      </w:r>
    </w:p>
    <w:p w14:paraId="4C2B3E94">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鉴别</w:t>
      </w: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b w:val="0"/>
          <w:bCs/>
          <w:sz w:val="21"/>
          <w:szCs w:val="21"/>
        </w:rPr>
        <w:t>取本品1g，研细，加75%乙醇10ml，超声处理30分钟，滤过，滤液作为供试品溶液。另取红曲对照药材1g，加水50ml，煎煮30分钟，滤过，滤液蒸干，残渣加75%乙醇10ml，同法制成对照药材溶液。照薄层色谱法（中国药典2020年版通则0502）试验，吸取供试品溶液8µl、对照药材溶液15µl，分别点于同一硅胶G薄层板上，以二氯甲烷-丙酮-冰乙酸（75</w:t>
      </w:r>
      <w:r>
        <w:rPr>
          <w:rFonts w:hint="default" w:ascii="Times New Roman" w:hAnsi="Times New Roman" w:eastAsia="宋体" w:cs="Times New Roman"/>
          <w:b w:val="0"/>
          <w:bCs/>
          <w:color w:val="auto"/>
          <w:sz w:val="21"/>
          <w:szCs w:val="21"/>
        </w:rPr>
        <w:t>∶</w:t>
      </w:r>
      <w:r>
        <w:rPr>
          <w:rFonts w:hint="default" w:ascii="Times New Roman" w:hAnsi="Times New Roman" w:eastAsia="宋体" w:cs="Times New Roman"/>
          <w:b w:val="0"/>
          <w:bCs/>
          <w:sz w:val="21"/>
          <w:szCs w:val="21"/>
        </w:rPr>
        <w:t>25</w:t>
      </w:r>
      <w:r>
        <w:rPr>
          <w:rFonts w:hint="default" w:ascii="Times New Roman" w:hAnsi="Times New Roman" w:eastAsia="宋体" w:cs="Times New Roman"/>
          <w:b w:val="0"/>
          <w:bCs/>
          <w:color w:val="auto"/>
          <w:sz w:val="21"/>
          <w:szCs w:val="21"/>
        </w:rPr>
        <w:t>∶</w:t>
      </w:r>
      <w:r>
        <w:rPr>
          <w:rFonts w:hint="default" w:ascii="Times New Roman" w:hAnsi="Times New Roman" w:eastAsia="宋体" w:cs="Times New Roman"/>
          <w:b w:val="0"/>
          <w:bCs/>
          <w:sz w:val="21"/>
          <w:szCs w:val="21"/>
        </w:rPr>
        <w:t>1）为展开剂，展开，取出，晾干，喷以5%磷钼酸硫酸</w:t>
      </w:r>
      <w:r>
        <w:rPr>
          <w:rFonts w:hint="eastAsia" w:ascii="Times New Roman" w:hAnsi="Times New Roman" w:eastAsia="宋体" w:cs="Times New Roman"/>
          <w:b w:val="0"/>
          <w:bCs/>
          <w:sz w:val="21"/>
          <w:szCs w:val="21"/>
          <w:lang w:eastAsia="zh-CN"/>
        </w:rPr>
        <w:t>∶</w:t>
      </w:r>
      <w:r>
        <w:rPr>
          <w:rFonts w:hint="default" w:ascii="Times New Roman" w:hAnsi="Times New Roman" w:eastAsia="宋体" w:cs="Times New Roman"/>
          <w:b w:val="0"/>
          <w:bCs/>
          <w:sz w:val="21"/>
          <w:szCs w:val="21"/>
        </w:rPr>
        <w:t>乙醇（1</w:t>
      </w:r>
      <w:r>
        <w:rPr>
          <w:rFonts w:hint="eastAsia" w:ascii="Times New Roman" w:hAnsi="Times New Roman" w:eastAsia="宋体" w:cs="Times New Roman"/>
          <w:b w:val="0"/>
          <w:bCs/>
          <w:sz w:val="21"/>
          <w:szCs w:val="21"/>
          <w:lang w:eastAsia="zh-CN"/>
        </w:rPr>
        <w:t>∶</w:t>
      </w:r>
      <w:r>
        <w:rPr>
          <w:rFonts w:hint="default" w:ascii="Times New Roman" w:hAnsi="Times New Roman" w:eastAsia="宋体" w:cs="Times New Roman"/>
          <w:b w:val="0"/>
          <w:bCs/>
          <w:sz w:val="21"/>
          <w:szCs w:val="21"/>
        </w:rPr>
        <w:t>20）的混合溶液，在120℃加热至斑点显色清晰。供试品色谱中，在与对照药材色谱相应的位置上，显相同颜色的斑点。</w:t>
      </w:r>
    </w:p>
    <w:p w14:paraId="07E7A326">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特征图谱</w:t>
      </w: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bCs/>
          <w:sz w:val="21"/>
          <w:szCs w:val="21"/>
        </w:rPr>
        <w:t>照高效液相色谱法（</w:t>
      </w:r>
      <w:r>
        <w:rPr>
          <w:rFonts w:hint="default" w:ascii="Times New Roman" w:hAnsi="Times New Roman" w:eastAsia="宋体" w:cs="Times New Roman"/>
          <w:bCs/>
          <w:sz w:val="21"/>
          <w:szCs w:val="21"/>
          <w:lang w:eastAsia="zh-CN"/>
        </w:rPr>
        <w:t>中国药典2020</w:t>
      </w:r>
      <w:r>
        <w:rPr>
          <w:rFonts w:hint="default" w:ascii="Times New Roman" w:hAnsi="Times New Roman" w:eastAsia="宋体" w:cs="Times New Roman"/>
          <w:bCs/>
          <w:sz w:val="21"/>
          <w:szCs w:val="21"/>
        </w:rPr>
        <w:t>年版通则0512）测定。</w:t>
      </w:r>
    </w:p>
    <w:p w14:paraId="51C23157">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sz w:val="21"/>
          <w:szCs w:val="21"/>
        </w:rPr>
        <w:t xml:space="preserve">色谱条件与系统适用性试验 </w:t>
      </w:r>
      <w:r>
        <w:rPr>
          <w:rFonts w:hint="default" w:ascii="Times New Roman" w:hAnsi="Times New Roman" w:eastAsia="宋体" w:cs="Times New Roman"/>
          <w:b w:val="0"/>
          <w:bCs/>
          <w:sz w:val="21"/>
          <w:szCs w:val="21"/>
        </w:rPr>
        <w:t>以</w:t>
      </w:r>
      <w:r>
        <w:rPr>
          <w:rFonts w:hint="default" w:ascii="Times New Roman" w:hAnsi="Times New Roman" w:eastAsia="宋体" w:cs="Times New Roman"/>
          <w:b w:val="0"/>
          <w:bCs/>
          <w:sz w:val="21"/>
          <w:szCs w:val="21"/>
          <w:lang w:val="en-US" w:eastAsia="zh-CN"/>
        </w:rPr>
        <w:t>十八烷基硅烷键合硅胶为填充剂</w:t>
      </w:r>
      <w:r>
        <w:rPr>
          <w:rFonts w:hint="default" w:ascii="Times New Roman" w:hAnsi="Times New Roman" w:eastAsia="宋体" w:cs="Times New Roman"/>
          <w:b w:val="0"/>
          <w:bCs/>
          <w:sz w:val="21"/>
          <w:szCs w:val="21"/>
        </w:rPr>
        <w:t>（柱长为</w:t>
      </w:r>
      <w:r>
        <w:rPr>
          <w:rFonts w:hint="default" w:ascii="Times New Roman" w:hAnsi="Times New Roman" w:eastAsia="宋体" w:cs="Times New Roman"/>
          <w:b w:val="0"/>
          <w:bCs/>
          <w:sz w:val="21"/>
          <w:szCs w:val="21"/>
          <w:lang w:val="en-US" w:eastAsia="zh-CN"/>
        </w:rPr>
        <w:t>100</w:t>
      </w:r>
      <w:r>
        <w:rPr>
          <w:rFonts w:hint="default" w:ascii="Times New Roman" w:hAnsi="Times New Roman" w:eastAsia="宋体" w:cs="Times New Roman"/>
          <w:b w:val="0"/>
          <w:bCs/>
          <w:sz w:val="21"/>
          <w:szCs w:val="21"/>
        </w:rPr>
        <w:t>mm，内径为</w:t>
      </w:r>
      <w:r>
        <w:rPr>
          <w:rFonts w:hint="default" w:ascii="Times New Roman" w:hAnsi="Times New Roman" w:eastAsia="宋体" w:cs="Times New Roman"/>
          <w:b w:val="0"/>
          <w:bCs/>
          <w:sz w:val="21"/>
          <w:szCs w:val="21"/>
          <w:lang w:val="en-US" w:eastAsia="zh-CN"/>
        </w:rPr>
        <w:t>2.1</w:t>
      </w:r>
      <w:r>
        <w:rPr>
          <w:rFonts w:hint="default" w:ascii="Times New Roman" w:hAnsi="Times New Roman" w:eastAsia="宋体" w:cs="Times New Roman"/>
          <w:b w:val="0"/>
          <w:bCs/>
          <w:sz w:val="21"/>
          <w:szCs w:val="21"/>
        </w:rPr>
        <w:t>mm，粒径为</w:t>
      </w:r>
      <w:r>
        <w:rPr>
          <w:rFonts w:hint="default" w:ascii="Times New Roman" w:hAnsi="Times New Roman" w:eastAsia="宋体" w:cs="Times New Roman"/>
          <w:b w:val="0"/>
          <w:bCs/>
          <w:sz w:val="21"/>
          <w:szCs w:val="21"/>
          <w:lang w:val="en-US" w:eastAsia="zh-CN"/>
        </w:rPr>
        <w:t>1.8</w:t>
      </w:r>
      <w:r>
        <w:rPr>
          <w:rFonts w:hint="default" w:ascii="Times New Roman" w:hAnsi="Times New Roman" w:eastAsia="宋体" w:cs="Times New Roman"/>
          <w:b w:val="0"/>
          <w:bCs/>
          <w:sz w:val="21"/>
          <w:szCs w:val="21"/>
        </w:rPr>
        <w:t>μm）；以乙腈为流动相A，</w:t>
      </w:r>
      <w:r>
        <w:rPr>
          <w:rFonts w:hint="default" w:ascii="Times New Roman" w:hAnsi="Times New Roman" w:eastAsia="宋体" w:cs="Times New Roman"/>
          <w:b w:val="0"/>
          <w:bCs/>
          <w:sz w:val="21"/>
          <w:szCs w:val="21"/>
          <w:lang w:val="en-US" w:eastAsia="zh-CN"/>
        </w:rPr>
        <w:t>以</w:t>
      </w:r>
      <w:r>
        <w:rPr>
          <w:rFonts w:hint="default" w:ascii="Times New Roman" w:hAnsi="Times New Roman" w:eastAsia="宋体" w:cs="Times New Roman"/>
          <w:b w:val="0"/>
          <w:bCs/>
          <w:sz w:val="21"/>
          <w:szCs w:val="21"/>
        </w:rPr>
        <w:t>0.</w:t>
      </w:r>
      <w:r>
        <w:rPr>
          <w:rFonts w:hint="default" w:ascii="Times New Roman" w:hAnsi="Times New Roman" w:eastAsia="宋体" w:cs="Times New Roman"/>
          <w:b w:val="0"/>
          <w:bCs/>
          <w:sz w:val="21"/>
          <w:szCs w:val="21"/>
          <w:lang w:val="en-US" w:eastAsia="zh-CN"/>
        </w:rPr>
        <w:t>05</w:t>
      </w:r>
      <w:r>
        <w:rPr>
          <w:rFonts w:hint="default" w:ascii="Times New Roman" w:hAnsi="Times New Roman" w:eastAsia="宋体" w:cs="Times New Roman"/>
          <w:b w:val="0"/>
          <w:bCs/>
          <w:sz w:val="21"/>
          <w:szCs w:val="21"/>
        </w:rPr>
        <w:t>%磷酸溶液为流动相B，按下表</w:t>
      </w:r>
      <w:r>
        <w:rPr>
          <w:rFonts w:hint="default" w:ascii="Times New Roman" w:hAnsi="Times New Roman" w:eastAsia="宋体" w:cs="Times New Roman"/>
          <w:b w:val="0"/>
          <w:bCs/>
          <w:sz w:val="21"/>
          <w:szCs w:val="21"/>
          <w:lang w:val="en-US" w:eastAsia="zh-CN"/>
        </w:rPr>
        <w:t>中的规定进行</w:t>
      </w:r>
      <w:r>
        <w:rPr>
          <w:rFonts w:hint="default" w:ascii="Times New Roman" w:hAnsi="Times New Roman" w:eastAsia="宋体" w:cs="Times New Roman"/>
          <w:b w:val="0"/>
          <w:bCs/>
          <w:sz w:val="21"/>
          <w:szCs w:val="21"/>
        </w:rPr>
        <w:t>梯度洗脱；流速为每分钟</w:t>
      </w:r>
      <w:r>
        <w:rPr>
          <w:rFonts w:hint="default" w:ascii="Times New Roman" w:hAnsi="Times New Roman" w:eastAsia="宋体" w:cs="Times New Roman"/>
          <w:b w:val="0"/>
          <w:bCs/>
          <w:sz w:val="21"/>
          <w:szCs w:val="21"/>
          <w:lang w:val="en-US" w:eastAsia="zh-CN"/>
        </w:rPr>
        <w:t>0.35</w:t>
      </w:r>
      <w:r>
        <w:rPr>
          <w:rFonts w:hint="default" w:ascii="Times New Roman" w:hAnsi="Times New Roman" w:eastAsia="宋体" w:cs="Times New Roman"/>
          <w:b w:val="0"/>
          <w:bCs/>
          <w:sz w:val="21"/>
          <w:szCs w:val="21"/>
        </w:rPr>
        <w:t>ml</w:t>
      </w:r>
      <w:r>
        <w:rPr>
          <w:rFonts w:hint="default" w:ascii="Times New Roman" w:hAnsi="Times New Roman" w:eastAsia="宋体" w:cs="Times New Roman"/>
          <w:b w:val="0"/>
          <w:bCs/>
          <w:sz w:val="21"/>
          <w:szCs w:val="21"/>
          <w:lang w:eastAsia="zh-CN"/>
        </w:rPr>
        <w:t>；</w:t>
      </w:r>
      <w:r>
        <w:rPr>
          <w:rFonts w:hint="default" w:ascii="Times New Roman" w:hAnsi="Times New Roman" w:eastAsia="宋体" w:cs="Times New Roman"/>
          <w:b w:val="0"/>
          <w:bCs/>
          <w:sz w:val="21"/>
          <w:szCs w:val="21"/>
        </w:rPr>
        <w:t>柱温为30℃</w:t>
      </w:r>
      <w:r>
        <w:rPr>
          <w:rFonts w:hint="default" w:ascii="Times New Roman" w:hAnsi="Times New Roman" w:eastAsia="宋体" w:cs="Times New Roman"/>
          <w:b w:val="0"/>
          <w:bCs/>
          <w:sz w:val="21"/>
          <w:szCs w:val="21"/>
          <w:lang w:eastAsia="zh-CN"/>
        </w:rPr>
        <w:t>；</w:t>
      </w:r>
      <w:r>
        <w:rPr>
          <w:rFonts w:hint="default" w:ascii="Times New Roman" w:hAnsi="Times New Roman" w:eastAsia="宋体" w:cs="Times New Roman"/>
          <w:b w:val="0"/>
          <w:bCs/>
          <w:sz w:val="21"/>
          <w:szCs w:val="21"/>
        </w:rPr>
        <w:t>检测波长为</w:t>
      </w:r>
      <w:r>
        <w:rPr>
          <w:rFonts w:hint="default" w:ascii="Times New Roman" w:hAnsi="Times New Roman" w:eastAsia="宋体" w:cs="Times New Roman"/>
          <w:b w:val="0"/>
          <w:bCs/>
          <w:sz w:val="21"/>
          <w:szCs w:val="21"/>
          <w:lang w:val="en-US" w:eastAsia="zh-CN"/>
        </w:rPr>
        <w:t>238</w:t>
      </w:r>
      <w:r>
        <w:rPr>
          <w:rFonts w:hint="default" w:ascii="Times New Roman" w:hAnsi="Times New Roman" w:eastAsia="宋体" w:cs="Times New Roman"/>
          <w:b w:val="0"/>
          <w:bCs/>
          <w:sz w:val="21"/>
          <w:szCs w:val="21"/>
        </w:rPr>
        <w:t>nm。</w:t>
      </w:r>
      <w:r>
        <w:rPr>
          <w:rFonts w:hint="default" w:ascii="Times New Roman" w:hAnsi="Times New Roman" w:eastAsia="宋体" w:cs="Times New Roman"/>
          <w:color w:val="auto"/>
          <w:sz w:val="21"/>
          <w:szCs w:val="21"/>
          <w:highlight w:val="none"/>
        </w:rPr>
        <w:t>理论板数按</w:t>
      </w:r>
      <w:r>
        <w:rPr>
          <w:rFonts w:hint="default" w:ascii="Times New Roman" w:hAnsi="Times New Roman" w:eastAsia="宋体" w:cs="Times New Roman"/>
          <w:color w:val="auto"/>
          <w:sz w:val="21"/>
          <w:szCs w:val="21"/>
          <w:highlight w:val="none"/>
          <w:lang w:eastAsia="zh-CN"/>
        </w:rPr>
        <w:t>洛伐他汀峰</w:t>
      </w:r>
      <w:r>
        <w:rPr>
          <w:rFonts w:hint="default" w:ascii="Times New Roman" w:hAnsi="Times New Roman" w:eastAsia="宋体" w:cs="Times New Roman"/>
          <w:color w:val="auto"/>
          <w:sz w:val="21"/>
          <w:szCs w:val="21"/>
          <w:highlight w:val="none"/>
        </w:rPr>
        <w:t>计算应不低于</w:t>
      </w: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US" w:eastAsia="zh-CN"/>
        </w:rPr>
        <w:t>000</w:t>
      </w:r>
      <w:r>
        <w:rPr>
          <w:rFonts w:hint="default" w:ascii="Times New Roman" w:hAnsi="Times New Roman" w:eastAsia="宋体" w:cs="Times New Roman"/>
          <w:b w:val="0"/>
          <w:bCs/>
          <w:sz w:val="21"/>
          <w:szCs w:val="21"/>
        </w:rPr>
        <w:t>。</w:t>
      </w:r>
    </w:p>
    <w:tbl>
      <w:tblPr>
        <w:tblStyle w:val="5"/>
        <w:tblW w:w="8163" w:type="dxa"/>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21"/>
        <w:gridCol w:w="2721"/>
        <w:gridCol w:w="2721"/>
      </w:tblGrid>
      <w:tr w14:paraId="716DD8D5">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single" w:color="000000" w:sz="12" w:space="0"/>
              <w:bottom w:val="single" w:color="000000" w:sz="4" w:space="0"/>
            </w:tcBorders>
            <w:vAlign w:val="center"/>
          </w:tcPr>
          <w:p w14:paraId="16F6F2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eastAsia="宋体" w:cs="Times New Roman"/>
                <w:kern w:val="0"/>
                <w:sz w:val="18"/>
                <w:szCs w:val="18"/>
              </w:rPr>
              <w:t>时间</w:t>
            </w:r>
            <w:r>
              <w:rPr>
                <w:rFonts w:hint="default" w:ascii="Times New Roman" w:hAnsi="Times New Roman" w:eastAsia="宋体" w:cs="Times New Roman"/>
                <w:kern w:val="0"/>
                <w:sz w:val="18"/>
                <w:szCs w:val="18"/>
                <w:lang w:val="en-US" w:eastAsia="zh-CN"/>
              </w:rPr>
              <w:t>（分钟）</w:t>
            </w:r>
          </w:p>
        </w:tc>
        <w:tc>
          <w:tcPr>
            <w:tcW w:w="2721" w:type="dxa"/>
            <w:tcBorders>
              <w:top w:val="single" w:color="000000" w:sz="12" w:space="0"/>
              <w:bottom w:val="single" w:color="000000" w:sz="4" w:space="0"/>
            </w:tcBorders>
            <w:vAlign w:val="center"/>
          </w:tcPr>
          <w:p w14:paraId="2EBCE21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流动相A(</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w:t>
            </w:r>
          </w:p>
        </w:tc>
        <w:tc>
          <w:tcPr>
            <w:tcW w:w="2721" w:type="dxa"/>
            <w:tcBorders>
              <w:top w:val="single" w:color="000000" w:sz="12" w:space="0"/>
              <w:bottom w:val="single" w:color="000000" w:sz="4" w:space="0"/>
            </w:tcBorders>
            <w:vAlign w:val="center"/>
          </w:tcPr>
          <w:p w14:paraId="306310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流动相B(</w:t>
            </w:r>
            <w:r>
              <w:rPr>
                <w:rFonts w:hint="default" w:ascii="Times New Roman" w:hAnsi="Times New Roman" w:eastAsia="宋体" w:cs="Times New Roman"/>
                <w:kern w:val="0"/>
                <w:sz w:val="18"/>
                <w:szCs w:val="18"/>
              </w:rPr>
              <w:t>%</w:t>
            </w:r>
            <w:r>
              <w:rPr>
                <w:rFonts w:hint="default" w:ascii="Times New Roman" w:hAnsi="Times New Roman" w:eastAsia="宋体" w:cs="Times New Roman"/>
                <w:kern w:val="0"/>
                <w:sz w:val="18"/>
                <w:szCs w:val="18"/>
                <w:lang w:val="en-US" w:eastAsia="zh-CN"/>
              </w:rPr>
              <w:t>)</w:t>
            </w:r>
          </w:p>
        </w:tc>
      </w:tr>
      <w:tr w14:paraId="387150E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single" w:color="000000" w:sz="4" w:space="0"/>
              <w:bottom w:val="nil"/>
            </w:tcBorders>
            <w:vAlign w:val="center"/>
          </w:tcPr>
          <w:p w14:paraId="12880F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0</w:t>
            </w:r>
            <w:r>
              <w:rPr>
                <w:rFonts w:hint="default" w:ascii="Times New Roman" w:hAnsi="Times New Roman" w:eastAsia="宋体" w:cs="Times New Roman"/>
                <w:kern w:val="0"/>
                <w:sz w:val="18"/>
                <w:szCs w:val="18"/>
                <w:lang w:val="en-US" w:eastAsia="zh-CN"/>
              </w:rPr>
              <w:t>~6</w:t>
            </w:r>
          </w:p>
        </w:tc>
        <w:tc>
          <w:tcPr>
            <w:tcW w:w="2721" w:type="dxa"/>
            <w:tcBorders>
              <w:top w:val="single" w:color="000000" w:sz="4" w:space="0"/>
              <w:bottom w:val="nil"/>
            </w:tcBorders>
            <w:vAlign w:val="center"/>
          </w:tcPr>
          <w:p w14:paraId="016488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30</w:t>
            </w:r>
          </w:p>
        </w:tc>
        <w:tc>
          <w:tcPr>
            <w:tcW w:w="2721" w:type="dxa"/>
            <w:tcBorders>
              <w:top w:val="single" w:color="000000" w:sz="4" w:space="0"/>
              <w:bottom w:val="nil"/>
            </w:tcBorders>
            <w:vAlign w:val="center"/>
          </w:tcPr>
          <w:p w14:paraId="5811C5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70</w:t>
            </w:r>
          </w:p>
        </w:tc>
      </w:tr>
      <w:tr w14:paraId="0A31C642">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nil"/>
            </w:tcBorders>
            <w:vAlign w:val="center"/>
          </w:tcPr>
          <w:p w14:paraId="01DE6B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6~20</w:t>
            </w:r>
          </w:p>
        </w:tc>
        <w:tc>
          <w:tcPr>
            <w:tcW w:w="2721" w:type="dxa"/>
            <w:tcBorders>
              <w:top w:val="nil"/>
              <w:bottom w:val="nil"/>
            </w:tcBorders>
            <w:vAlign w:val="center"/>
          </w:tcPr>
          <w:p w14:paraId="49BC1A9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30→45</w:t>
            </w:r>
          </w:p>
        </w:tc>
        <w:tc>
          <w:tcPr>
            <w:tcW w:w="2721" w:type="dxa"/>
            <w:tcBorders>
              <w:top w:val="nil"/>
              <w:bottom w:val="nil"/>
            </w:tcBorders>
            <w:vAlign w:val="center"/>
          </w:tcPr>
          <w:p w14:paraId="6ABA64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70→55</w:t>
            </w:r>
          </w:p>
        </w:tc>
      </w:tr>
      <w:tr w14:paraId="5E300BF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nil"/>
            </w:tcBorders>
            <w:vAlign w:val="center"/>
          </w:tcPr>
          <w:p w14:paraId="0E6A92E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20~30</w:t>
            </w:r>
          </w:p>
        </w:tc>
        <w:tc>
          <w:tcPr>
            <w:tcW w:w="2721" w:type="dxa"/>
            <w:tcBorders>
              <w:top w:val="nil"/>
              <w:bottom w:val="nil"/>
            </w:tcBorders>
            <w:vAlign w:val="center"/>
          </w:tcPr>
          <w:p w14:paraId="21D78BD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45→60</w:t>
            </w:r>
          </w:p>
        </w:tc>
        <w:tc>
          <w:tcPr>
            <w:tcW w:w="2721" w:type="dxa"/>
            <w:tcBorders>
              <w:top w:val="nil"/>
              <w:bottom w:val="nil"/>
            </w:tcBorders>
            <w:vAlign w:val="center"/>
          </w:tcPr>
          <w:p w14:paraId="11D5B2F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55→40</w:t>
            </w:r>
          </w:p>
        </w:tc>
      </w:tr>
      <w:tr w14:paraId="2C74373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nil"/>
            </w:tcBorders>
            <w:vAlign w:val="center"/>
          </w:tcPr>
          <w:p w14:paraId="02C8102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rPr>
            </w:pPr>
            <w:r>
              <w:rPr>
                <w:rFonts w:hint="default" w:ascii="Times New Roman" w:hAnsi="Times New Roman" w:eastAsia="宋体" w:cs="Times New Roman"/>
                <w:kern w:val="0"/>
                <w:sz w:val="18"/>
                <w:szCs w:val="18"/>
                <w:lang w:val="en-US" w:eastAsia="zh-CN"/>
              </w:rPr>
              <w:t>30~31</w:t>
            </w:r>
          </w:p>
        </w:tc>
        <w:tc>
          <w:tcPr>
            <w:tcW w:w="2721" w:type="dxa"/>
            <w:tcBorders>
              <w:top w:val="nil"/>
              <w:bottom w:val="nil"/>
            </w:tcBorders>
            <w:vAlign w:val="center"/>
          </w:tcPr>
          <w:p w14:paraId="4C3037D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60→90</w:t>
            </w:r>
          </w:p>
        </w:tc>
        <w:tc>
          <w:tcPr>
            <w:tcW w:w="2721" w:type="dxa"/>
            <w:tcBorders>
              <w:top w:val="nil"/>
              <w:bottom w:val="nil"/>
            </w:tcBorders>
            <w:vAlign w:val="center"/>
          </w:tcPr>
          <w:p w14:paraId="78D3AD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40→10</w:t>
            </w:r>
          </w:p>
        </w:tc>
      </w:tr>
      <w:tr w14:paraId="47BBDE27">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single" w:color="auto" w:sz="12" w:space="0"/>
            </w:tcBorders>
            <w:vAlign w:val="center"/>
          </w:tcPr>
          <w:p w14:paraId="528E558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31~33</w:t>
            </w:r>
          </w:p>
        </w:tc>
        <w:tc>
          <w:tcPr>
            <w:tcW w:w="2721" w:type="dxa"/>
            <w:tcBorders>
              <w:top w:val="nil"/>
              <w:bottom w:val="single" w:color="auto" w:sz="12" w:space="0"/>
            </w:tcBorders>
            <w:vAlign w:val="center"/>
          </w:tcPr>
          <w:p w14:paraId="744E272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90</w:t>
            </w:r>
          </w:p>
        </w:tc>
        <w:tc>
          <w:tcPr>
            <w:tcW w:w="2721" w:type="dxa"/>
            <w:tcBorders>
              <w:top w:val="nil"/>
              <w:bottom w:val="single" w:color="auto" w:sz="12" w:space="0"/>
            </w:tcBorders>
            <w:vAlign w:val="center"/>
          </w:tcPr>
          <w:p w14:paraId="05BAE84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10</w:t>
            </w:r>
          </w:p>
        </w:tc>
      </w:tr>
    </w:tbl>
    <w:p w14:paraId="242C6547">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sz w:val="21"/>
          <w:szCs w:val="21"/>
        </w:rPr>
      </w:pPr>
    </w:p>
    <w:p w14:paraId="17B238C4">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sz w:val="21"/>
          <w:szCs w:val="21"/>
        </w:rPr>
        <w:t xml:space="preserve">参照物溶液的制备 </w:t>
      </w:r>
      <w:r>
        <w:rPr>
          <w:rFonts w:hint="default" w:ascii="Times New Roman" w:hAnsi="Times New Roman" w:eastAsia="宋体" w:cs="Times New Roman"/>
          <w:b w:val="0"/>
          <w:bCs/>
          <w:sz w:val="21"/>
          <w:szCs w:val="21"/>
        </w:rPr>
        <w:t>取红曲对照药材1g，置具塞锥形瓶中，加50%乙醇25ml，加热回流30分钟，放冷，滤过，取续滤液，作为对照药材参照物溶液。取洛伐他汀对照品适量，精密称定，加乙腈制成每lml含40µg的溶液，作为对照品参照物溶液1。另取洛伐他汀对照品适量，精密称定，加2mol/L氢氧化钠溶液制成每lml含40µg的溶液，50℃超声转化1小时，室温放置1小时，加盐酸调pH值至中性，摇匀，滤过，取续滤液，即得开环洛伐他汀对照品溶液，作为对照品参照物溶液2。</w:t>
      </w:r>
    </w:p>
    <w:p w14:paraId="7D043A0E">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sz w:val="21"/>
          <w:szCs w:val="21"/>
        </w:rPr>
        <w:t xml:space="preserve">供试品溶液的制备 </w:t>
      </w:r>
      <w:r>
        <w:rPr>
          <w:rFonts w:hint="default" w:ascii="Times New Roman" w:hAnsi="Times New Roman" w:eastAsia="宋体" w:cs="Times New Roman"/>
          <w:b w:val="0"/>
          <w:bCs/>
          <w:sz w:val="21"/>
          <w:szCs w:val="21"/>
        </w:rPr>
        <w:t>取本品适量，研细，取0.5g，置具塞锥形瓶中，加入50%乙醇25ml，超声处理（功率250W，频率40kHz）30分钟，放冷，摇匀，滤过，取续滤液，即得。</w:t>
      </w:r>
    </w:p>
    <w:p w14:paraId="304CA74F">
      <w:pPr>
        <w:keepNext w:val="0"/>
        <w:keepLines w:val="0"/>
        <w:pageBreakBefore w:val="0"/>
        <w:tabs>
          <w:tab w:val="left" w:pos="7680"/>
        </w:tabs>
        <w:kinsoku/>
        <w:wordWrap/>
        <w:overflowPunct/>
        <w:topLinePunct w:val="0"/>
        <w:bidi w:val="0"/>
        <w:adjustRightInd/>
        <w:snapToGrid/>
        <w:spacing w:line="360" w:lineRule="auto"/>
        <w:ind w:firstLine="420"/>
        <w:jc w:val="both"/>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sz w:val="21"/>
          <w:szCs w:val="21"/>
        </w:rPr>
        <w:t xml:space="preserve">测定法 </w:t>
      </w:r>
      <w:r>
        <w:rPr>
          <w:rFonts w:hint="default" w:ascii="Times New Roman" w:hAnsi="Times New Roman" w:eastAsia="宋体" w:cs="Times New Roman"/>
          <w:b w:val="0"/>
          <w:bCs/>
          <w:sz w:val="21"/>
          <w:szCs w:val="21"/>
        </w:rPr>
        <w:t>分别精密吸取参照物溶液和供试品</w:t>
      </w:r>
      <w:r>
        <w:rPr>
          <w:rFonts w:hint="default" w:ascii="Times New Roman" w:hAnsi="Times New Roman" w:eastAsia="宋体" w:cs="Times New Roman"/>
          <w:b w:val="0"/>
          <w:bCs/>
          <w:sz w:val="21"/>
          <w:szCs w:val="21"/>
        </w:rPr>
        <w:t>溶液各1μl，注入液相</w:t>
      </w:r>
      <w:r>
        <w:rPr>
          <w:rFonts w:hint="default" w:ascii="Times New Roman" w:hAnsi="Times New Roman" w:eastAsia="宋体" w:cs="Times New Roman"/>
          <w:b w:val="0"/>
          <w:bCs/>
          <w:sz w:val="21"/>
          <w:szCs w:val="21"/>
        </w:rPr>
        <w:t>色谱仪，测定，即得。</w:t>
      </w:r>
    </w:p>
    <w:p w14:paraId="65148FD0">
      <w:pPr>
        <w:keepNext w:val="0"/>
        <w:keepLines w:val="0"/>
        <w:pageBreakBefore w:val="0"/>
        <w:kinsoku/>
        <w:wordWrap/>
        <w:overflowPunct/>
        <w:topLinePunct w:val="0"/>
        <w:bidi w:val="0"/>
        <w:adjustRightInd/>
        <w:snapToGrid/>
        <w:spacing w:line="360" w:lineRule="auto"/>
        <w:ind w:firstLine="420"/>
        <w:jc w:val="both"/>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供试品色谱中应呈现5个特征峰，并应与对照药材参照物色谱中的5个特征峰保留时间相对应，其中</w:t>
      </w:r>
      <w:r>
        <w:rPr>
          <w:rFonts w:hint="default" w:ascii="Times New Roman" w:hAnsi="Times New Roman" w:eastAsia="宋体" w:cs="Times New Roman"/>
          <w:b w:val="0"/>
          <w:bCs/>
          <w:sz w:val="21"/>
          <w:szCs w:val="21"/>
          <w:lang w:val="en-US" w:eastAsia="zh-CN"/>
        </w:rPr>
        <w:t>峰3、峰5</w:t>
      </w:r>
      <w:r>
        <w:rPr>
          <w:rFonts w:hint="default" w:ascii="Times New Roman" w:hAnsi="Times New Roman" w:eastAsia="宋体" w:cs="Times New Roman"/>
          <w:b w:val="0"/>
          <w:bCs/>
          <w:sz w:val="21"/>
          <w:szCs w:val="21"/>
        </w:rPr>
        <w:t>应分别与相应对照品参照物峰的保留时间相对应。</w:t>
      </w:r>
    </w:p>
    <w:p w14:paraId="44FDD9D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color w:val="FF0000"/>
          <w:sz w:val="21"/>
          <w:szCs w:val="21"/>
          <w:lang w:val="en-US" w:eastAsia="zh-CN"/>
        </w:rPr>
      </w:pPr>
      <w:r>
        <w:rPr>
          <w:rFonts w:hint="default" w:ascii="Times New Roman" w:hAnsi="Times New Roman" w:eastAsia="宋体" w:cs="Times New Roman"/>
          <w:color w:val="FF0000"/>
          <w:sz w:val="21"/>
          <w:szCs w:val="21"/>
          <w:lang w:val="en-US" w:eastAsia="zh-CN"/>
        </w:rPr>
        <w:drawing>
          <wp:inline distT="0" distB="0" distL="114300" distR="114300">
            <wp:extent cx="5274310" cy="2673350"/>
            <wp:effectExtent l="0" t="0" r="2540" b="12700"/>
            <wp:docPr id="5" name="图片 5" descr="红曲配方颗粒对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红曲配方颗粒对照"/>
                    <pic:cNvPicPr>
                      <a:picLocks noChangeAspect="1"/>
                    </pic:cNvPicPr>
                  </pic:nvPicPr>
                  <pic:blipFill>
                    <a:blip r:embed="rId6"/>
                    <a:stretch>
                      <a:fillRect/>
                    </a:stretch>
                  </pic:blipFill>
                  <pic:spPr>
                    <a:xfrm>
                      <a:off x="0" y="0"/>
                      <a:ext cx="5274310" cy="2673350"/>
                    </a:xfrm>
                    <a:prstGeom prst="rect">
                      <a:avLst/>
                    </a:prstGeom>
                  </pic:spPr>
                </pic:pic>
              </a:graphicData>
            </a:graphic>
          </wp:inline>
        </w:drawing>
      </w:r>
    </w:p>
    <w:p w14:paraId="196597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对照特征图谱</w:t>
      </w:r>
    </w:p>
    <w:p w14:paraId="5F243B7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峰3</w:t>
      </w:r>
      <w:r>
        <w:rPr>
          <w:rFonts w:hint="eastAsia" w:cs="Times New Roman"/>
          <w:color w:val="auto"/>
          <w:sz w:val="18"/>
          <w:szCs w:val="18"/>
          <w:lang w:eastAsia="zh-CN"/>
        </w:rPr>
        <w:t>∶</w:t>
      </w:r>
      <w:r>
        <w:rPr>
          <w:rFonts w:hint="default" w:ascii="Times New Roman" w:hAnsi="Times New Roman" w:eastAsia="宋体" w:cs="Times New Roman"/>
          <w:color w:val="auto"/>
          <w:sz w:val="18"/>
          <w:szCs w:val="18"/>
          <w:lang w:eastAsia="zh-CN"/>
        </w:rPr>
        <w:t>开环洛伐他汀；峰5</w:t>
      </w:r>
      <w:r>
        <w:rPr>
          <w:rFonts w:hint="eastAsia" w:cs="Times New Roman"/>
          <w:color w:val="auto"/>
          <w:sz w:val="18"/>
          <w:szCs w:val="18"/>
          <w:lang w:eastAsia="zh-CN"/>
        </w:rPr>
        <w:t>∶</w:t>
      </w:r>
      <w:r>
        <w:rPr>
          <w:rFonts w:hint="default" w:ascii="Times New Roman" w:hAnsi="Times New Roman" w:eastAsia="宋体" w:cs="Times New Roman"/>
          <w:color w:val="auto"/>
          <w:sz w:val="18"/>
          <w:szCs w:val="18"/>
          <w:lang w:eastAsia="zh-CN"/>
        </w:rPr>
        <w:t>洛伐他汀</w:t>
      </w:r>
    </w:p>
    <w:p w14:paraId="0E39000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w:t>
      </w:r>
      <w:r>
        <w:rPr>
          <w:rFonts w:hint="eastAsia" w:cs="Times New Roman"/>
          <w:color w:val="auto"/>
          <w:sz w:val="18"/>
          <w:szCs w:val="18"/>
          <w:lang w:eastAsia="zh-CN"/>
        </w:rPr>
        <w:t>∶</w:t>
      </w:r>
      <w:r>
        <w:rPr>
          <w:rFonts w:hint="default" w:ascii="Times New Roman" w:hAnsi="Times New Roman" w:eastAsia="宋体" w:cs="Times New Roman"/>
          <w:color w:val="auto"/>
          <w:sz w:val="18"/>
          <w:szCs w:val="18"/>
          <w:lang w:eastAsia="zh-CN"/>
        </w:rPr>
        <w:t>Eclipse Plus C18，100mm</w:t>
      </w:r>
      <w:r>
        <w:rPr>
          <w:rFonts w:hint="default"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lang w:eastAsia="zh-CN"/>
        </w:rPr>
        <w:t>2.1mm，1.8μm</w:t>
      </w:r>
    </w:p>
    <w:p w14:paraId="30B54AEA">
      <w:pPr>
        <w:keepNext w:val="0"/>
        <w:keepLines w:val="0"/>
        <w:pageBreakBefore w:val="0"/>
        <w:kinsoku/>
        <w:wordWrap/>
        <w:overflowPunct/>
        <w:topLinePunct w:val="0"/>
        <w:bidi w:val="0"/>
        <w:adjustRightInd/>
        <w:snapToGrid/>
        <w:spacing w:line="360" w:lineRule="auto"/>
        <w:ind w:firstLine="420" w:firstLineChars="200"/>
        <w:jc w:val="both"/>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bCs/>
          <w:sz w:val="21"/>
          <w:szCs w:val="21"/>
        </w:rPr>
        <w:t>检查</w:t>
      </w:r>
      <w:r>
        <w:rPr>
          <w:rFonts w:hint="default" w:ascii="Times New Roman" w:hAnsi="Times New Roman" w:eastAsia="宋体" w:cs="Times New Roman"/>
          <w:b w:val="0"/>
          <w:bCs/>
          <w:sz w:val="21"/>
          <w:szCs w:val="21"/>
        </w:rPr>
        <w:t xml:space="preserve">】 </w:t>
      </w:r>
      <w:r>
        <w:rPr>
          <w:rFonts w:hint="default" w:ascii="Times New Roman" w:hAnsi="Times New Roman" w:eastAsia="宋体" w:cs="Times New Roman"/>
          <w:b/>
          <w:bCs/>
          <w:sz w:val="21"/>
          <w:szCs w:val="21"/>
          <w:highlight w:val="none"/>
          <w:lang w:val="en-US" w:eastAsia="zh-CN"/>
        </w:rPr>
        <w:t>黄曲霉毒素B</w:t>
      </w:r>
      <w:r>
        <w:rPr>
          <w:rFonts w:hint="default" w:ascii="Times New Roman" w:hAnsi="Times New Roman" w:eastAsia="宋体" w:cs="Times New Roman"/>
          <w:b/>
          <w:bCs/>
          <w:sz w:val="21"/>
          <w:szCs w:val="21"/>
          <w:highlight w:val="none"/>
          <w:vertAlign w:val="subscript"/>
          <w:lang w:val="en-US" w:eastAsia="zh-CN"/>
        </w:rPr>
        <w:t>1</w:t>
      </w:r>
      <w:r>
        <w:rPr>
          <w:rFonts w:hint="default" w:ascii="Times New Roman" w:hAnsi="Times New Roman" w:eastAsia="宋体" w:cs="Times New Roman"/>
          <w:sz w:val="21"/>
          <w:szCs w:val="21"/>
          <w:highlight w:val="none"/>
          <w:lang w:val="en-US" w:eastAsia="zh-CN"/>
        </w:rPr>
        <w:t xml:space="preserve"> 照</w:t>
      </w:r>
      <w:r>
        <w:rPr>
          <w:rFonts w:hint="default" w:ascii="Times New Roman" w:hAnsi="Times New Roman" w:eastAsia="宋体" w:cs="Times New Roman"/>
          <w:sz w:val="21"/>
          <w:szCs w:val="21"/>
          <w:highlight w:val="none"/>
          <w:lang w:val="en-US" w:eastAsia="zh-CN"/>
        </w:rPr>
        <w:t>真菌毒素</w:t>
      </w:r>
      <w:r>
        <w:rPr>
          <w:rFonts w:hint="default" w:ascii="Times New Roman" w:hAnsi="Times New Roman" w:eastAsia="宋体" w:cs="Times New Roman"/>
          <w:sz w:val="21"/>
          <w:szCs w:val="21"/>
          <w:highlight w:val="none"/>
          <w:lang w:val="en-US" w:eastAsia="zh-CN"/>
        </w:rPr>
        <w:t>测定法（中国药典2020年版通则</w:t>
      </w:r>
      <w:r>
        <w:rPr>
          <w:rFonts w:hint="default" w:ascii="Times New Roman" w:hAnsi="Times New Roman" w:eastAsia="宋体" w:cs="Times New Roman"/>
          <w:sz w:val="21"/>
          <w:szCs w:val="21"/>
          <w:highlight w:val="none"/>
          <w:lang w:val="en-US" w:eastAsia="zh-CN"/>
        </w:rPr>
        <w:t>2351项下黄曲霉毒素测定法</w:t>
      </w:r>
      <w:r>
        <w:rPr>
          <w:rFonts w:hint="default" w:ascii="Times New Roman" w:hAnsi="Times New Roman" w:eastAsia="宋体" w:cs="Times New Roman"/>
          <w:sz w:val="21"/>
          <w:szCs w:val="21"/>
          <w:highlight w:val="none"/>
          <w:lang w:val="en-US" w:eastAsia="zh-CN"/>
        </w:rPr>
        <w:t>）测定。</w:t>
      </w:r>
    </w:p>
    <w:p w14:paraId="5EC41A69">
      <w:pPr>
        <w:keepNext w:val="0"/>
        <w:keepLines w:val="0"/>
        <w:pageBreakBefore w:val="0"/>
        <w:kinsoku/>
        <w:wordWrap/>
        <w:overflowPunct/>
        <w:topLinePunct w:val="0"/>
        <w:bidi w:val="0"/>
        <w:adjustRightInd/>
        <w:snapToGrid/>
        <w:spacing w:line="360" w:lineRule="auto"/>
        <w:ind w:firstLine="420" w:firstLineChars="20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取本品</w:t>
      </w:r>
      <w:r>
        <w:rPr>
          <w:rFonts w:hint="default" w:ascii="Times New Roman" w:hAnsi="Times New Roman" w:eastAsia="宋体" w:cs="Times New Roman"/>
          <w:sz w:val="21"/>
          <w:szCs w:val="21"/>
          <w:highlight w:val="none"/>
          <w:lang w:val="en-US" w:eastAsia="zh-CN"/>
        </w:rPr>
        <w:t>适量，研细，取</w:t>
      </w:r>
      <w:r>
        <w:rPr>
          <w:rFonts w:hint="default" w:ascii="Times New Roman" w:hAnsi="Times New Roman" w:eastAsia="宋体" w:cs="Times New Roman"/>
          <w:sz w:val="21"/>
          <w:szCs w:val="21"/>
          <w:highlight w:val="none"/>
          <w:lang w:val="en-US" w:eastAsia="zh-CN"/>
        </w:rPr>
        <w:t>约5.0g，精密称定，加入氯化钠3g，照黄曲霉毒素测定法项下供试品的制备方法测定，计算，即得。</w:t>
      </w:r>
    </w:p>
    <w:p w14:paraId="2566085E">
      <w:pPr>
        <w:keepNext w:val="0"/>
        <w:keepLines w:val="0"/>
        <w:pageBreakBefore w:val="0"/>
        <w:kinsoku/>
        <w:wordWrap/>
        <w:overflowPunct/>
        <w:topLinePunct w:val="0"/>
        <w:bidi w:val="0"/>
        <w:adjustRightInd/>
        <w:snapToGrid/>
        <w:spacing w:line="360" w:lineRule="auto"/>
        <w:ind w:firstLine="420" w:firstLineChars="20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每1000g含黄曲霉毒素B</w:t>
      </w:r>
      <w:r>
        <w:rPr>
          <w:rFonts w:hint="default" w:ascii="Times New Roman" w:hAnsi="Times New Roman" w:eastAsia="宋体" w:cs="Times New Roman"/>
          <w:sz w:val="21"/>
          <w:szCs w:val="21"/>
          <w:highlight w:val="none"/>
          <w:vertAlign w:val="subscript"/>
          <w:lang w:val="en-US" w:eastAsia="zh-CN"/>
        </w:rPr>
        <w:t>1</w:t>
      </w:r>
      <w:r>
        <w:rPr>
          <w:rFonts w:hint="default" w:ascii="Times New Roman" w:hAnsi="Times New Roman" w:eastAsia="宋体" w:cs="Times New Roman"/>
          <w:sz w:val="21"/>
          <w:szCs w:val="21"/>
          <w:highlight w:val="none"/>
          <w:lang w:val="en-US" w:eastAsia="zh-CN"/>
        </w:rPr>
        <w:t>不得过5</w:t>
      </w:r>
      <w:r>
        <w:rPr>
          <w:rFonts w:hint="default" w:ascii="Times New Roman" w:hAnsi="Times New Roman" w:eastAsia="宋体" w:cs="Times New Roman"/>
          <w:sz w:val="21"/>
          <w:szCs w:val="21"/>
          <w:highlight w:val="none"/>
          <w:lang w:val="en-US" w:eastAsia="zh-CN"/>
        </w:rPr>
        <w:t>μg</w:t>
      </w:r>
      <w:r>
        <w:rPr>
          <w:rFonts w:hint="default" w:ascii="Times New Roman" w:hAnsi="Times New Roman" w:eastAsia="宋体" w:cs="Times New Roman"/>
          <w:sz w:val="21"/>
          <w:szCs w:val="21"/>
          <w:highlight w:val="none"/>
          <w:lang w:val="en-US" w:eastAsia="zh-CN"/>
        </w:rPr>
        <w:t>。</w:t>
      </w:r>
    </w:p>
    <w:p w14:paraId="4E8B56F5">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highlight w:val="none"/>
          <w:lang w:val="en-US" w:eastAsia="zh-CN"/>
        </w:rPr>
        <w:t>桔青霉素</w:t>
      </w:r>
      <w:r>
        <w:rPr>
          <w:rFonts w:hint="default"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rPr>
        <w:t>照高效液相色谱法（</w:t>
      </w:r>
      <w:r>
        <w:rPr>
          <w:rFonts w:hint="default" w:ascii="Times New Roman" w:hAnsi="Times New Roman" w:eastAsia="宋体" w:cs="Times New Roman"/>
          <w:sz w:val="21"/>
          <w:szCs w:val="21"/>
          <w:lang w:eastAsia="zh-CN"/>
        </w:rPr>
        <w:t>中国药典2020年版</w:t>
      </w:r>
      <w:r>
        <w:rPr>
          <w:rFonts w:hint="default" w:ascii="Times New Roman" w:hAnsi="Times New Roman" w:eastAsia="宋体" w:cs="Times New Roman"/>
          <w:sz w:val="21"/>
          <w:szCs w:val="21"/>
        </w:rPr>
        <w:t>通则0512）测定。</w:t>
      </w:r>
    </w:p>
    <w:p w14:paraId="3BA73BC8">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rPr>
        <w:t>色谱条件与系统适用性试验</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Cs/>
          <w:kern w:val="0"/>
          <w:sz w:val="21"/>
          <w:szCs w:val="21"/>
        </w:rPr>
        <w:t>以十八烷基硅烷键合硅胶为填充剂；以乙腈-</w:t>
      </w:r>
      <w:r>
        <w:rPr>
          <w:rFonts w:hint="default" w:ascii="Times New Roman" w:hAnsi="Times New Roman" w:eastAsia="宋体" w:cs="Times New Roman"/>
          <w:bCs/>
          <w:kern w:val="0"/>
          <w:sz w:val="21"/>
          <w:szCs w:val="21"/>
          <w:lang w:val="en-US" w:eastAsia="zh-CN"/>
        </w:rPr>
        <w:t>水（35</w:t>
      </w:r>
      <w:r>
        <w:rPr>
          <w:rFonts w:hint="eastAsia" w:ascii="Times New Roman" w:hAnsi="Times New Roman" w:eastAsia="宋体" w:cs="Times New Roman"/>
          <w:bCs/>
          <w:kern w:val="0"/>
          <w:sz w:val="21"/>
          <w:szCs w:val="21"/>
          <w:lang w:val="en-US" w:eastAsia="zh-CN"/>
        </w:rPr>
        <w:t>∶</w:t>
      </w:r>
      <w:r>
        <w:rPr>
          <w:rFonts w:hint="default" w:ascii="Times New Roman" w:hAnsi="Times New Roman" w:eastAsia="宋体" w:cs="Times New Roman"/>
          <w:bCs/>
          <w:kern w:val="0"/>
          <w:sz w:val="21"/>
          <w:szCs w:val="21"/>
          <w:lang w:val="en-US" w:eastAsia="zh-CN"/>
        </w:rPr>
        <w:t>65）（用磷酸调节pH值至2.3）</w:t>
      </w:r>
      <w:r>
        <w:rPr>
          <w:rFonts w:hint="default" w:ascii="Times New Roman" w:hAnsi="Times New Roman" w:eastAsia="宋体" w:cs="Times New Roman"/>
          <w:bCs/>
          <w:kern w:val="0"/>
          <w:sz w:val="21"/>
          <w:szCs w:val="21"/>
        </w:rPr>
        <w:t>为流动相；</w:t>
      </w:r>
      <w:r>
        <w:rPr>
          <w:rFonts w:hint="default" w:ascii="Times New Roman" w:hAnsi="Times New Roman" w:eastAsia="宋体" w:cs="Times New Roman"/>
          <w:bCs/>
          <w:kern w:val="0"/>
          <w:sz w:val="21"/>
          <w:szCs w:val="21"/>
          <w:lang w:val="en-US" w:eastAsia="zh-CN"/>
        </w:rPr>
        <w:t>以荧光检测器检测，激发波长λ</w:t>
      </w:r>
      <w:r>
        <w:rPr>
          <w:rFonts w:hint="default" w:ascii="Times New Roman" w:hAnsi="Times New Roman" w:eastAsia="宋体" w:cs="Times New Roman"/>
          <w:bCs/>
          <w:kern w:val="0"/>
          <w:sz w:val="21"/>
          <w:szCs w:val="21"/>
          <w:vertAlign w:val="subscript"/>
          <w:lang w:val="en-US" w:eastAsia="zh-CN"/>
        </w:rPr>
        <w:t xml:space="preserve"> </w:t>
      </w:r>
      <w:r>
        <w:rPr>
          <w:rFonts w:hint="default" w:ascii="Times New Roman" w:hAnsi="Times New Roman" w:eastAsia="宋体" w:cs="Times New Roman"/>
          <w:bCs/>
          <w:kern w:val="0"/>
          <w:sz w:val="21"/>
          <w:szCs w:val="21"/>
          <w:lang w:val="en-US" w:eastAsia="zh-CN"/>
        </w:rPr>
        <w:t>=331nm，发射波长λ</w:t>
      </w:r>
      <w:r>
        <w:rPr>
          <w:rFonts w:hint="default" w:ascii="Times New Roman" w:hAnsi="Times New Roman" w:eastAsia="宋体" w:cs="Times New Roman"/>
          <w:bCs/>
          <w:kern w:val="0"/>
          <w:sz w:val="21"/>
          <w:szCs w:val="21"/>
          <w:vertAlign w:val="subscript"/>
          <w:lang w:val="en-US" w:eastAsia="zh-CN"/>
        </w:rPr>
        <w:t>em</w:t>
      </w:r>
      <w:r>
        <w:rPr>
          <w:rFonts w:hint="default" w:ascii="Times New Roman" w:hAnsi="Times New Roman" w:eastAsia="宋体" w:cs="Times New Roman"/>
          <w:bCs/>
          <w:kern w:val="0"/>
          <w:sz w:val="21"/>
          <w:szCs w:val="21"/>
          <w:lang w:val="en-US" w:eastAsia="zh-CN"/>
        </w:rPr>
        <w:t>=500nm</w:t>
      </w:r>
      <w:r>
        <w:rPr>
          <w:rFonts w:hint="default" w:ascii="Times New Roman" w:hAnsi="Times New Roman" w:eastAsia="宋体" w:cs="Times New Roman"/>
          <w:bCs/>
          <w:kern w:val="0"/>
          <w:sz w:val="21"/>
          <w:szCs w:val="21"/>
        </w:rPr>
        <w:t>。理论板数按</w:t>
      </w:r>
      <w:r>
        <w:rPr>
          <w:rFonts w:hint="default" w:ascii="Times New Roman" w:hAnsi="Times New Roman" w:eastAsia="宋体" w:cs="Times New Roman"/>
          <w:bCs/>
          <w:kern w:val="0"/>
          <w:sz w:val="21"/>
          <w:szCs w:val="21"/>
          <w:lang w:val="en-US" w:eastAsia="zh-CN"/>
        </w:rPr>
        <w:t>桔青霉素</w:t>
      </w:r>
      <w:r>
        <w:rPr>
          <w:rFonts w:hint="default" w:ascii="Times New Roman" w:hAnsi="Times New Roman" w:eastAsia="宋体" w:cs="Times New Roman"/>
          <w:bCs/>
          <w:kern w:val="0"/>
          <w:sz w:val="21"/>
          <w:szCs w:val="21"/>
        </w:rPr>
        <w:t>峰计算应不低于3000</w:t>
      </w:r>
      <w:r>
        <w:rPr>
          <w:rFonts w:hint="default" w:ascii="Times New Roman" w:hAnsi="Times New Roman" w:eastAsia="宋体" w:cs="Times New Roman"/>
          <w:sz w:val="21"/>
          <w:szCs w:val="21"/>
        </w:rPr>
        <w:t>。</w:t>
      </w:r>
    </w:p>
    <w:p w14:paraId="6AF6D0E1">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对照品溶液的制备</w:t>
      </w:r>
      <w:r>
        <w:rPr>
          <w:rFonts w:hint="default" w:ascii="Times New Roman" w:hAnsi="Times New Roman" w:eastAsia="宋体" w:cs="Times New Roman"/>
          <w:sz w:val="21"/>
          <w:szCs w:val="21"/>
          <w:highlight w:val="none"/>
        </w:rPr>
        <w:t xml:space="preserve"> 取</w:t>
      </w:r>
      <w:r>
        <w:rPr>
          <w:rFonts w:hint="default" w:ascii="Times New Roman" w:hAnsi="Times New Roman" w:eastAsia="宋体" w:cs="Times New Roman"/>
          <w:sz w:val="21"/>
          <w:szCs w:val="21"/>
          <w:highlight w:val="none"/>
          <w:lang w:val="en-US" w:eastAsia="zh-CN"/>
        </w:rPr>
        <w:t>桔青霉素</w:t>
      </w:r>
      <w:r>
        <w:rPr>
          <w:rFonts w:hint="default" w:ascii="Times New Roman" w:hAnsi="Times New Roman" w:eastAsia="宋体" w:cs="Times New Roman"/>
          <w:sz w:val="21"/>
          <w:szCs w:val="21"/>
          <w:highlight w:val="none"/>
        </w:rPr>
        <w:t>对照品适量，精密称定，加</w:t>
      </w:r>
      <w:r>
        <w:rPr>
          <w:rFonts w:hint="default" w:ascii="Times New Roman" w:hAnsi="Times New Roman" w:eastAsia="宋体" w:cs="Times New Roman"/>
          <w:sz w:val="21"/>
          <w:szCs w:val="21"/>
          <w:highlight w:val="none"/>
          <w:lang w:val="en-US" w:eastAsia="zh-CN"/>
        </w:rPr>
        <w:t>甲醇</w:t>
      </w:r>
      <w:r>
        <w:rPr>
          <w:rFonts w:hint="default" w:ascii="Times New Roman" w:hAnsi="Times New Roman" w:eastAsia="宋体" w:cs="Times New Roman"/>
          <w:sz w:val="21"/>
          <w:szCs w:val="21"/>
          <w:highlight w:val="none"/>
        </w:rPr>
        <w:t>制成每1ml含</w:t>
      </w:r>
      <w:r>
        <w:rPr>
          <w:rFonts w:hint="default" w:ascii="Times New Roman" w:hAnsi="Times New Roman" w:eastAsia="宋体" w:cs="Times New Roman"/>
          <w:sz w:val="21"/>
          <w:szCs w:val="21"/>
          <w:highlight w:val="none"/>
          <w:lang w:val="en-US" w:eastAsia="zh-CN"/>
        </w:rPr>
        <w:t>30</w:t>
      </w:r>
      <w:r>
        <w:rPr>
          <w:rFonts w:hint="default" w:ascii="Times New Roman" w:hAnsi="Times New Roman" w:eastAsia="宋体" w:cs="Times New Roman"/>
          <w:sz w:val="21"/>
          <w:szCs w:val="21"/>
          <w:highlight w:val="none"/>
        </w:rPr>
        <w:t>μg的溶液</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lang w:val="en-US" w:eastAsia="zh-CN"/>
        </w:rPr>
        <w:t>作为储备液。精密量取储备液适量，加甲醇-0.1%磷酸溶液（70</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30）制成每1ml含3ng的溶液，</w:t>
      </w:r>
      <w:r>
        <w:rPr>
          <w:rFonts w:hint="default" w:ascii="Times New Roman" w:hAnsi="Times New Roman" w:eastAsia="宋体" w:cs="Times New Roman"/>
          <w:sz w:val="21"/>
          <w:szCs w:val="21"/>
          <w:highlight w:val="none"/>
        </w:rPr>
        <w:t>即得。</w:t>
      </w:r>
    </w:p>
    <w:p w14:paraId="543C8BC1">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highlight w:val="none"/>
        </w:rPr>
        <w:t>供试品溶液的制备</w:t>
      </w:r>
      <w:r>
        <w:rPr>
          <w:rFonts w:hint="default" w:ascii="Times New Roman" w:hAnsi="Times New Roman" w:eastAsia="宋体" w:cs="Times New Roman"/>
          <w:sz w:val="21"/>
          <w:szCs w:val="21"/>
          <w:highlight w:val="none"/>
        </w:rPr>
        <w:t xml:space="preserve"> 取本品</w:t>
      </w:r>
      <w:r>
        <w:rPr>
          <w:rFonts w:hint="default" w:ascii="Times New Roman" w:hAnsi="Times New Roman" w:eastAsia="宋体" w:cs="Times New Roman"/>
          <w:sz w:val="21"/>
          <w:szCs w:val="21"/>
          <w:highlight w:val="none"/>
          <w:lang w:val="en-US" w:eastAsia="zh-CN"/>
        </w:rPr>
        <w:t>，研细，取约2.0g</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val="en-US" w:eastAsia="zh-CN"/>
        </w:rPr>
        <w:t>精密称定，精密加入70%甲醇10ml，称定重量，超声处理（250W，40kHz）30分钟，再称定重量，用70%甲醇补足减失的重量，</w:t>
      </w:r>
      <w:bookmarkStart w:id="0" w:name="_GoBack"/>
      <w:bookmarkEnd w:id="0"/>
      <w:r>
        <w:rPr>
          <w:rFonts w:hint="default" w:ascii="Times New Roman" w:hAnsi="Times New Roman" w:eastAsia="宋体" w:cs="Times New Roman"/>
          <w:sz w:val="21"/>
          <w:szCs w:val="21"/>
          <w:highlight w:val="none"/>
          <w:lang w:val="en-US" w:eastAsia="zh-CN"/>
        </w:rPr>
        <w:t>摇匀，离心5分钟（转速为每分钟3000转），精密量取上清液1ml，置25ml量瓶中，用PBS缓冲液稀释至刻度，充分振摇，滤过，精密量取续滤液10ml，通过免疫亲和柱（免疫亲和柱预先用2ml PBS处理），流速每分钟小于3ml，使空气进入柱子，再用0.1%吐温PBS淋洗液10ml洗脱，洗脱液弃去，使空气进入柱子，将淋洗液挤出柱子，再用适量甲醇-0.1%磷酸溶液（70</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30）混合溶液洗脱，置2ml量瓶中，并用甲醇-0.1%磷酸溶液（70</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30）混合溶液稀释至刻度，摇匀，即得。</w:t>
      </w:r>
    </w:p>
    <w:p w14:paraId="6C967299">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sz w:val="21"/>
          <w:szCs w:val="21"/>
          <w:highlight w:val="none"/>
        </w:rPr>
        <w:t xml:space="preserve">测定法 </w:t>
      </w:r>
      <w:r>
        <w:rPr>
          <w:rFonts w:hint="default" w:ascii="Times New Roman" w:hAnsi="Times New Roman" w:eastAsia="宋体" w:cs="Times New Roman"/>
          <w:sz w:val="21"/>
          <w:szCs w:val="21"/>
          <w:highlight w:val="none"/>
        </w:rPr>
        <w:t>分别</w:t>
      </w:r>
      <w:r>
        <w:rPr>
          <w:rFonts w:hint="default" w:ascii="Times New Roman" w:hAnsi="Times New Roman" w:eastAsia="宋体" w:cs="Times New Roman"/>
          <w:sz w:val="21"/>
          <w:szCs w:val="21"/>
          <w:highlight w:val="none"/>
          <w:lang w:val="en-US" w:eastAsia="zh-CN"/>
        </w:rPr>
        <w:t>精密吸取上述对照品溶液2</w:t>
      </w:r>
      <w:r>
        <w:rPr>
          <w:rFonts w:hint="default" w:ascii="Times New Roman" w:hAnsi="Times New Roman" w:eastAsia="宋体" w:cs="Times New Roman"/>
          <w:sz w:val="21"/>
          <w:szCs w:val="21"/>
          <w:highlight w:val="none"/>
        </w:rPr>
        <w:t>μ</w:t>
      </w:r>
      <w:r>
        <w:rPr>
          <w:rFonts w:hint="default" w:ascii="Times New Roman" w:hAnsi="Times New Roman" w:eastAsia="宋体" w:cs="Times New Roman"/>
          <w:sz w:val="21"/>
          <w:szCs w:val="21"/>
          <w:highlight w:val="none"/>
          <w:lang w:val="en-US" w:eastAsia="zh-CN"/>
        </w:rPr>
        <w:t>l、4</w:t>
      </w:r>
      <w:r>
        <w:rPr>
          <w:rFonts w:hint="default" w:ascii="Times New Roman" w:hAnsi="Times New Roman" w:eastAsia="宋体" w:cs="Times New Roman"/>
          <w:sz w:val="21"/>
          <w:szCs w:val="21"/>
          <w:highlight w:val="none"/>
        </w:rPr>
        <w:t>μ</w:t>
      </w:r>
      <w:r>
        <w:rPr>
          <w:rFonts w:hint="default" w:ascii="Times New Roman" w:hAnsi="Times New Roman" w:eastAsia="宋体" w:cs="Times New Roman"/>
          <w:sz w:val="21"/>
          <w:szCs w:val="21"/>
          <w:highlight w:val="none"/>
          <w:lang w:val="en-US" w:eastAsia="zh-CN"/>
        </w:rPr>
        <w:t>l、10</w:t>
      </w:r>
      <w:r>
        <w:rPr>
          <w:rFonts w:hint="default" w:ascii="Times New Roman" w:hAnsi="Times New Roman" w:eastAsia="宋体" w:cs="Times New Roman"/>
          <w:sz w:val="21"/>
          <w:szCs w:val="21"/>
          <w:highlight w:val="none"/>
        </w:rPr>
        <w:t>μ</w:t>
      </w:r>
      <w:r>
        <w:rPr>
          <w:rFonts w:hint="default" w:ascii="Times New Roman" w:hAnsi="Times New Roman" w:eastAsia="宋体" w:cs="Times New Roman"/>
          <w:sz w:val="21"/>
          <w:szCs w:val="21"/>
          <w:highlight w:val="none"/>
          <w:lang w:val="en-US" w:eastAsia="zh-CN"/>
        </w:rPr>
        <w:t>l、15</w:t>
      </w:r>
      <w:r>
        <w:rPr>
          <w:rFonts w:hint="default" w:ascii="Times New Roman" w:hAnsi="Times New Roman" w:eastAsia="宋体" w:cs="Times New Roman"/>
          <w:sz w:val="21"/>
          <w:szCs w:val="21"/>
          <w:highlight w:val="none"/>
        </w:rPr>
        <w:t>μ</w:t>
      </w:r>
      <w:r>
        <w:rPr>
          <w:rFonts w:hint="default" w:ascii="Times New Roman" w:hAnsi="Times New Roman" w:eastAsia="宋体" w:cs="Times New Roman"/>
          <w:sz w:val="21"/>
          <w:szCs w:val="21"/>
          <w:highlight w:val="none"/>
          <w:lang w:val="en-US" w:eastAsia="zh-CN"/>
        </w:rPr>
        <w:t>l、20</w:t>
      </w:r>
      <w:r>
        <w:rPr>
          <w:rFonts w:hint="default" w:ascii="Times New Roman" w:hAnsi="Times New Roman" w:eastAsia="宋体" w:cs="Times New Roman"/>
          <w:sz w:val="21"/>
          <w:szCs w:val="21"/>
          <w:highlight w:val="none"/>
        </w:rPr>
        <w:t>μ</w:t>
      </w:r>
      <w:r>
        <w:rPr>
          <w:rFonts w:hint="default" w:ascii="Times New Roman" w:hAnsi="Times New Roman" w:eastAsia="宋体" w:cs="Times New Roman"/>
          <w:sz w:val="21"/>
          <w:szCs w:val="21"/>
          <w:highlight w:val="none"/>
          <w:lang w:val="en-US" w:eastAsia="zh-CN"/>
        </w:rPr>
        <w:t>l，注入液相色谱仪，测定峰面积，以峰面积为纵坐标，进样量为横坐标，绘制标准曲线。另精密吸取上述供试品溶液10</w:t>
      </w:r>
      <w:r>
        <w:rPr>
          <w:rFonts w:hint="default" w:ascii="Times New Roman" w:hAnsi="Times New Roman" w:eastAsia="宋体" w:cs="Times New Roman"/>
          <w:sz w:val="21"/>
          <w:szCs w:val="21"/>
          <w:highlight w:val="none"/>
        </w:rPr>
        <w:t>μ</w:t>
      </w:r>
      <w:r>
        <w:rPr>
          <w:rFonts w:hint="default" w:ascii="Times New Roman" w:hAnsi="Times New Roman" w:eastAsia="宋体" w:cs="Times New Roman"/>
          <w:sz w:val="21"/>
          <w:szCs w:val="21"/>
          <w:highlight w:val="none"/>
          <w:lang w:val="en-US" w:eastAsia="zh-CN"/>
        </w:rPr>
        <w:t>l，注入液相色谱仪，测定峰面积，从标准曲线上读出供试品中相当与对照品的量，计算，即得。</w:t>
      </w:r>
    </w:p>
    <w:p w14:paraId="11EFFC99">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每1000g含桔青霉素不得过50</w:t>
      </w:r>
      <w:r>
        <w:rPr>
          <w:rFonts w:hint="default" w:ascii="Times New Roman" w:hAnsi="Times New Roman" w:eastAsia="宋体" w:cs="Times New Roman"/>
          <w:b w:val="0"/>
          <w:bCs w:val="0"/>
          <w:sz w:val="21"/>
          <w:szCs w:val="21"/>
          <w:lang w:val="en-US" w:eastAsia="zh-CN"/>
        </w:rPr>
        <w:t>μ</w:t>
      </w:r>
      <w:r>
        <w:rPr>
          <w:rFonts w:hint="default" w:ascii="Times New Roman" w:hAnsi="Times New Roman" w:eastAsia="宋体" w:cs="Times New Roman"/>
          <w:b w:val="0"/>
          <w:bCs w:val="0"/>
          <w:sz w:val="21"/>
          <w:szCs w:val="21"/>
          <w:lang w:val="en-US" w:eastAsia="zh-CN"/>
        </w:rPr>
        <w:t>g。</w:t>
      </w:r>
    </w:p>
    <w:p w14:paraId="3B78F70C">
      <w:pPr>
        <w:keepNext w:val="0"/>
        <w:keepLines w:val="0"/>
        <w:pageBreakBefore w:val="0"/>
        <w:kinsoku/>
        <w:wordWrap/>
        <w:overflowPunct/>
        <w:topLinePunct w:val="0"/>
        <w:bidi w:val="0"/>
        <w:adjustRightInd/>
        <w:snapToGrid/>
        <w:spacing w:line="360" w:lineRule="auto"/>
        <w:ind w:firstLine="422"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bCs/>
          <w:sz w:val="21"/>
          <w:szCs w:val="21"/>
          <w:lang w:val="en-US" w:eastAsia="zh-CN"/>
        </w:rPr>
        <w:t>PBS缓冲液的配制</w:t>
      </w:r>
      <w:r>
        <w:rPr>
          <w:rFonts w:hint="eastAsia" w:ascii="Times New Roman" w:hAnsi="Times New Roman" w:eastAsia="宋体"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称取氯化钠8.0g，磷酸氢二钠1.2g，磷酸二氢钾0.2g，氯化钾0.2g，用水990ml溶解，以盐酸或1mol/L NaOH溶液调节pH值至7.0，加水稀释至1000ml，摇匀，即得。</w:t>
      </w:r>
    </w:p>
    <w:p w14:paraId="2B9B50D4">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val="0"/>
          <w:bCs/>
          <w:sz w:val="21"/>
          <w:szCs w:val="21"/>
        </w:rPr>
      </w:pPr>
      <w:r>
        <w:rPr>
          <w:rFonts w:hint="default" w:ascii="Times New Roman" w:hAnsi="Times New Roman" w:eastAsia="宋体" w:cs="Times New Roman"/>
          <w:b/>
          <w:bCs/>
          <w:sz w:val="21"/>
          <w:szCs w:val="21"/>
          <w:lang w:val="en-US" w:eastAsia="zh-CN"/>
        </w:rPr>
        <w:t>0.1%吐温PBS淋洗液的配制</w:t>
      </w:r>
      <w:r>
        <w:rPr>
          <w:rFonts w:hint="eastAsia" w:ascii="Times New Roman" w:hAnsi="Times New Roman" w:eastAsia="宋体"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取吐温-20 1ml，加PBS缓冲液定容至1000ml，摇匀，即得。</w:t>
      </w:r>
    </w:p>
    <w:p w14:paraId="3B130A72">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Cs/>
          <w:sz w:val="21"/>
          <w:szCs w:val="21"/>
        </w:rPr>
      </w:pPr>
      <w:r>
        <w:rPr>
          <w:rFonts w:hint="default" w:ascii="Times New Roman" w:hAnsi="Times New Roman" w:eastAsia="宋体" w:cs="Times New Roman"/>
          <w:b/>
          <w:bCs w:val="0"/>
          <w:sz w:val="21"/>
          <w:szCs w:val="21"/>
          <w:lang w:eastAsia="zh-CN"/>
        </w:rPr>
        <w:t>其他</w:t>
      </w:r>
      <w:r>
        <w:rPr>
          <w:rFonts w:hint="default" w:ascii="Times New Roman" w:hAnsi="Times New Roman" w:eastAsia="宋体" w:cs="Times New Roman"/>
          <w:bCs/>
          <w:sz w:val="21"/>
          <w:szCs w:val="21"/>
          <w:lang w:val="en-US" w:eastAsia="zh-CN"/>
        </w:rPr>
        <w:t xml:space="preserve"> </w:t>
      </w:r>
      <w:r>
        <w:rPr>
          <w:rFonts w:hint="default" w:ascii="Times New Roman" w:hAnsi="Times New Roman" w:eastAsia="宋体" w:cs="Times New Roman"/>
          <w:bCs/>
          <w:sz w:val="21"/>
          <w:szCs w:val="21"/>
        </w:rPr>
        <w:t>应符合颗粒剂项下有关的各项规定（</w:t>
      </w:r>
      <w:r>
        <w:rPr>
          <w:rFonts w:hint="default" w:ascii="Times New Roman" w:hAnsi="Times New Roman" w:eastAsia="宋体" w:cs="Times New Roman"/>
          <w:bCs/>
          <w:sz w:val="21"/>
          <w:szCs w:val="21"/>
          <w:lang w:eastAsia="zh-CN"/>
        </w:rPr>
        <w:t>中国药典2020</w:t>
      </w:r>
      <w:r>
        <w:rPr>
          <w:rFonts w:hint="default" w:ascii="Times New Roman" w:hAnsi="Times New Roman" w:eastAsia="宋体" w:cs="Times New Roman"/>
          <w:bCs/>
          <w:sz w:val="21"/>
          <w:szCs w:val="21"/>
        </w:rPr>
        <w:t>年版通则0104）。</w:t>
      </w:r>
    </w:p>
    <w:p w14:paraId="3E7B8ED6">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bCs/>
          <w:sz w:val="21"/>
          <w:szCs w:val="21"/>
        </w:rPr>
        <w:t>浸出物</w:t>
      </w: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取本品研细，取约2g，精密称定，精密加入乙醇100ml，照醇溶性浸出物测定法（中国药典2020年版通则2201）项下的热浸法测定，不得少于8.0%</w:t>
      </w:r>
      <w:r>
        <w:rPr>
          <w:rFonts w:hint="default" w:ascii="Times New Roman" w:hAnsi="Times New Roman" w:eastAsia="宋体" w:cs="Times New Roman"/>
          <w:sz w:val="21"/>
          <w:szCs w:val="21"/>
          <w:highlight w:val="none"/>
        </w:rPr>
        <w:t>。</w:t>
      </w:r>
    </w:p>
    <w:p w14:paraId="783FB5CE">
      <w:pPr>
        <w:keepNext w:val="0"/>
        <w:keepLines w:val="0"/>
        <w:pageBreakBefore w:val="0"/>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r>
        <w:rPr>
          <w:rFonts w:hint="default" w:ascii="Times New Roman" w:hAnsi="Times New Roman" w:eastAsia="宋体" w:cs="Times New Roman"/>
          <w:b/>
          <w:sz w:val="21"/>
          <w:szCs w:val="21"/>
          <w:highlight w:val="none"/>
        </w:rPr>
        <w:t>含量测定</w:t>
      </w:r>
      <w:r>
        <w:rPr>
          <w:rFonts w:hint="default" w:ascii="Times New Roman" w:hAnsi="Times New Roman" w:eastAsia="宋体" w:cs="Times New Roman"/>
          <w:sz w:val="21"/>
          <w:szCs w:val="21"/>
          <w:highlight w:val="none"/>
        </w:rPr>
        <w:t>】 照高效液相色谱法（中国药典</w:t>
      </w:r>
      <w:r>
        <w:rPr>
          <w:rFonts w:hint="default" w:ascii="Times New Roman" w:hAnsi="Times New Roman" w:eastAsia="宋体" w:cs="Times New Roman"/>
          <w:sz w:val="21"/>
          <w:szCs w:val="21"/>
          <w:highlight w:val="none"/>
          <w:lang w:eastAsia="zh-CN"/>
        </w:rPr>
        <w:t>2020</w:t>
      </w:r>
      <w:r>
        <w:rPr>
          <w:rFonts w:hint="default" w:ascii="Times New Roman" w:hAnsi="Times New Roman" w:eastAsia="宋体" w:cs="Times New Roman"/>
          <w:sz w:val="21"/>
          <w:szCs w:val="21"/>
          <w:highlight w:val="none"/>
        </w:rPr>
        <w:t>年版通则0512）测定。</w:t>
      </w:r>
    </w:p>
    <w:p w14:paraId="15A7F1B2">
      <w:pPr>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default" w:ascii="Times New Roman" w:hAnsi="Times New Roman" w:eastAsia="宋体" w:cs="Times New Roman"/>
          <w:sz w:val="21"/>
          <w:szCs w:val="21"/>
          <w:highlight w:val="yellow"/>
        </w:rPr>
      </w:pPr>
      <w:r>
        <w:rPr>
          <w:rFonts w:hint="default" w:ascii="Times New Roman" w:hAnsi="Times New Roman" w:eastAsia="宋体" w:cs="Times New Roman"/>
          <w:b/>
          <w:sz w:val="21"/>
          <w:szCs w:val="21"/>
          <w:highlight w:val="none"/>
        </w:rPr>
        <w:t xml:space="preserve">色谱条件与系统适用性试验 </w:t>
      </w:r>
      <w:r>
        <w:rPr>
          <w:rFonts w:hint="default" w:ascii="Times New Roman" w:hAnsi="Times New Roman" w:eastAsia="宋体" w:cs="Times New Roman"/>
          <w:bCs/>
          <w:kern w:val="0"/>
          <w:sz w:val="21"/>
          <w:szCs w:val="21"/>
        </w:rPr>
        <w:t>以十八烷基硅烷键合硅胶为填充剂；以乙腈-甲醇-0.1%磷酸溶液（55</w:t>
      </w:r>
      <w:r>
        <w:rPr>
          <w:rFonts w:hint="eastAsia" w:ascii="Times New Roman" w:hAnsi="Times New Roman" w:eastAsia="宋体" w:cs="Times New Roman"/>
          <w:bCs/>
          <w:kern w:val="0"/>
          <w:sz w:val="21"/>
          <w:szCs w:val="21"/>
          <w:lang w:eastAsia="zh-CN"/>
        </w:rPr>
        <w:t>∶</w:t>
      </w:r>
      <w:r>
        <w:rPr>
          <w:rFonts w:hint="default" w:ascii="Times New Roman" w:hAnsi="Times New Roman" w:eastAsia="宋体" w:cs="Times New Roman"/>
          <w:bCs/>
          <w:kern w:val="0"/>
          <w:sz w:val="21"/>
          <w:szCs w:val="21"/>
        </w:rPr>
        <w:t>5</w:t>
      </w:r>
      <w:r>
        <w:rPr>
          <w:rFonts w:hint="eastAsia" w:ascii="Times New Roman" w:hAnsi="Times New Roman" w:eastAsia="宋体" w:cs="Times New Roman"/>
          <w:bCs/>
          <w:kern w:val="0"/>
          <w:sz w:val="21"/>
          <w:szCs w:val="21"/>
          <w:lang w:eastAsia="zh-CN"/>
        </w:rPr>
        <w:t>∶</w:t>
      </w:r>
      <w:r>
        <w:rPr>
          <w:rFonts w:hint="default" w:ascii="Times New Roman" w:hAnsi="Times New Roman" w:eastAsia="宋体" w:cs="Times New Roman"/>
          <w:bCs/>
          <w:kern w:val="0"/>
          <w:sz w:val="21"/>
          <w:szCs w:val="21"/>
        </w:rPr>
        <w:t>40）为流动相；检测波长为238nm。理论板数按洛伐他汀峰计算应不低于3000</w:t>
      </w:r>
      <w:r>
        <w:rPr>
          <w:rFonts w:hint="default" w:ascii="Times New Roman" w:hAnsi="Times New Roman" w:eastAsia="宋体" w:cs="Times New Roman"/>
          <w:sz w:val="21"/>
          <w:szCs w:val="21"/>
        </w:rPr>
        <w:t>。</w:t>
      </w:r>
    </w:p>
    <w:p w14:paraId="49A507FB">
      <w:pPr>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 xml:space="preserve">对照品溶液的制备 </w:t>
      </w:r>
      <w:r>
        <w:rPr>
          <w:rFonts w:hint="default" w:ascii="Times New Roman" w:hAnsi="Times New Roman" w:eastAsia="宋体" w:cs="Times New Roman"/>
          <w:sz w:val="21"/>
          <w:szCs w:val="21"/>
          <w:highlight w:val="none"/>
        </w:rPr>
        <w:t>取</w:t>
      </w:r>
      <w:r>
        <w:rPr>
          <w:rFonts w:hint="default" w:ascii="Times New Roman" w:hAnsi="Times New Roman" w:eastAsia="宋体" w:cs="Times New Roman"/>
          <w:sz w:val="21"/>
          <w:szCs w:val="21"/>
          <w:highlight w:val="none"/>
          <w:lang w:eastAsia="zh-CN"/>
        </w:rPr>
        <w:t>洛伐他汀</w:t>
      </w:r>
      <w:r>
        <w:rPr>
          <w:rFonts w:hint="default" w:ascii="Times New Roman" w:hAnsi="Times New Roman" w:eastAsia="宋体" w:cs="Times New Roman"/>
          <w:sz w:val="21"/>
          <w:szCs w:val="21"/>
          <w:highlight w:val="none"/>
        </w:rPr>
        <w:t>对照品适量，精密称定，加</w:t>
      </w:r>
      <w:r>
        <w:rPr>
          <w:rFonts w:hint="default" w:ascii="Times New Roman" w:hAnsi="Times New Roman" w:eastAsia="宋体" w:cs="Times New Roman"/>
          <w:sz w:val="21"/>
          <w:szCs w:val="21"/>
          <w:highlight w:val="none"/>
          <w:lang w:val="en-US" w:eastAsia="zh-CN"/>
        </w:rPr>
        <w:t>乙腈</w:t>
      </w:r>
      <w:r>
        <w:rPr>
          <w:rFonts w:hint="default" w:ascii="Times New Roman" w:hAnsi="Times New Roman" w:eastAsia="宋体" w:cs="Times New Roman"/>
          <w:sz w:val="21"/>
          <w:szCs w:val="21"/>
          <w:highlight w:val="none"/>
        </w:rPr>
        <w:t>制成每1ml含</w:t>
      </w:r>
      <w:r>
        <w:rPr>
          <w:rFonts w:hint="default" w:ascii="Times New Roman" w:hAnsi="Times New Roman" w:eastAsia="宋体" w:cs="Times New Roman"/>
          <w:sz w:val="21"/>
          <w:szCs w:val="21"/>
          <w:highlight w:val="none"/>
          <w:lang w:val="en-US" w:eastAsia="zh-CN"/>
        </w:rPr>
        <w:t>15</w:t>
      </w:r>
      <w:r>
        <w:rPr>
          <w:rFonts w:hint="default" w:ascii="Times New Roman" w:hAnsi="Times New Roman" w:eastAsia="宋体" w:cs="Times New Roman"/>
          <w:sz w:val="21"/>
          <w:szCs w:val="21"/>
          <w:highlight w:val="none"/>
        </w:rPr>
        <w:t>μg的溶液，即得。</w:t>
      </w:r>
    </w:p>
    <w:p w14:paraId="40696236">
      <w:pPr>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 xml:space="preserve">供试品溶液的制备 </w:t>
      </w:r>
      <w:r>
        <w:rPr>
          <w:rFonts w:hint="default" w:ascii="Times New Roman" w:hAnsi="Times New Roman" w:eastAsia="宋体" w:cs="Times New Roman"/>
          <w:sz w:val="21"/>
          <w:szCs w:val="21"/>
          <w:highlight w:val="none"/>
        </w:rPr>
        <w:t>取本品适量，研细，取约0.2g，精密称定，置具塞锥形瓶中，加</w:t>
      </w:r>
      <w:r>
        <w:rPr>
          <w:rFonts w:hint="default" w:ascii="Times New Roman" w:hAnsi="Times New Roman" w:eastAsia="宋体" w:cs="Times New Roman"/>
          <w:sz w:val="21"/>
          <w:szCs w:val="21"/>
          <w:highlight w:val="none"/>
          <w:lang w:val="en-US" w:eastAsia="zh-CN"/>
        </w:rPr>
        <w:t>50</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val="en-US" w:eastAsia="zh-CN"/>
        </w:rPr>
        <w:t>乙醇50</w:t>
      </w:r>
      <w:r>
        <w:rPr>
          <w:rFonts w:hint="default" w:ascii="Times New Roman" w:hAnsi="Times New Roman" w:eastAsia="宋体" w:cs="Times New Roman"/>
          <w:sz w:val="21"/>
          <w:szCs w:val="21"/>
          <w:highlight w:val="none"/>
        </w:rPr>
        <w:t>ml，称定重量，超声处理（功率</w:t>
      </w:r>
      <w:r>
        <w:rPr>
          <w:rFonts w:hint="default" w:ascii="Times New Roman" w:hAnsi="Times New Roman" w:eastAsia="宋体" w:cs="Times New Roman"/>
          <w:sz w:val="21"/>
          <w:szCs w:val="21"/>
          <w:highlight w:val="none"/>
          <w:lang w:val="en-US" w:eastAsia="zh-CN"/>
        </w:rPr>
        <w:t>250</w:t>
      </w:r>
      <w:r>
        <w:rPr>
          <w:rFonts w:hint="default" w:ascii="Times New Roman" w:hAnsi="Times New Roman" w:eastAsia="宋体" w:cs="Times New Roman"/>
          <w:sz w:val="21"/>
          <w:szCs w:val="21"/>
          <w:highlight w:val="none"/>
        </w:rPr>
        <w:t>W，频率</w:t>
      </w:r>
      <w:r>
        <w:rPr>
          <w:rFonts w:hint="default" w:ascii="Times New Roman" w:hAnsi="Times New Roman" w:eastAsia="宋体" w:cs="Times New Roman"/>
          <w:sz w:val="21"/>
          <w:szCs w:val="21"/>
          <w:highlight w:val="none"/>
          <w:lang w:val="en-US" w:eastAsia="zh-CN"/>
        </w:rPr>
        <w:t>40</w:t>
      </w:r>
      <w:r>
        <w:rPr>
          <w:rFonts w:hint="default" w:ascii="Times New Roman" w:hAnsi="Times New Roman" w:eastAsia="宋体" w:cs="Times New Roman"/>
          <w:sz w:val="21"/>
          <w:szCs w:val="21"/>
          <w:highlight w:val="none"/>
        </w:rPr>
        <w:t>kHz）30分钟，放冷，再称定重量，用</w:t>
      </w:r>
      <w:r>
        <w:rPr>
          <w:rFonts w:hint="default" w:ascii="Times New Roman" w:hAnsi="Times New Roman" w:eastAsia="宋体" w:cs="Times New Roman"/>
          <w:sz w:val="21"/>
          <w:szCs w:val="21"/>
          <w:highlight w:val="none"/>
          <w:lang w:val="en-US" w:eastAsia="zh-CN"/>
        </w:rPr>
        <w:t>50</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val="en-US" w:eastAsia="zh-CN"/>
        </w:rPr>
        <w:t>乙醇</w:t>
      </w:r>
      <w:r>
        <w:rPr>
          <w:rFonts w:hint="default" w:ascii="Times New Roman" w:hAnsi="Times New Roman" w:eastAsia="宋体" w:cs="Times New Roman"/>
          <w:sz w:val="21"/>
          <w:szCs w:val="21"/>
          <w:highlight w:val="none"/>
        </w:rPr>
        <w:t>补足减失重量，摇匀，滤过</w:t>
      </w:r>
      <w:r>
        <w:rPr>
          <w:rFonts w:hint="default"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，取续滤液，即得</w:t>
      </w:r>
      <w:r>
        <w:rPr>
          <w:rFonts w:hint="default" w:ascii="Times New Roman" w:hAnsi="Times New Roman" w:eastAsia="宋体" w:cs="Times New Roman"/>
          <w:b w:val="0"/>
          <w:bCs w:val="0"/>
          <w:kern w:val="2"/>
          <w:sz w:val="21"/>
          <w:szCs w:val="21"/>
          <w:highlight w:val="none"/>
          <w:lang w:val="en-US" w:eastAsia="zh-CN" w:bidi="ar-SA"/>
        </w:rPr>
        <w:t>。</w:t>
      </w:r>
    </w:p>
    <w:p w14:paraId="7EC3C5FB">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snapToGrid/>
        <w:spacing w:line="360" w:lineRule="auto"/>
        <w:ind w:firstLine="420"/>
        <w:jc w:val="both"/>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sz w:val="21"/>
          <w:szCs w:val="21"/>
          <w:highlight w:val="none"/>
        </w:rPr>
        <w:t xml:space="preserve">测定法 </w:t>
      </w:r>
      <w:r>
        <w:rPr>
          <w:rFonts w:hint="default" w:ascii="Times New Roman" w:hAnsi="Times New Roman" w:eastAsia="宋体" w:cs="Times New Roman"/>
          <w:sz w:val="21"/>
          <w:szCs w:val="21"/>
          <w:highlight w:val="none"/>
        </w:rPr>
        <w:t>分别精密吸取对照品溶液与供试品溶液各1</w:t>
      </w:r>
      <w:r>
        <w:rPr>
          <w:rFonts w:hint="default" w:ascii="Times New Roman" w:hAnsi="Times New Roman" w:eastAsia="宋体" w:cs="Times New Roman"/>
          <w:sz w:val="21"/>
          <w:szCs w:val="21"/>
          <w:highlight w:val="none"/>
          <w:lang w:val="en-US" w:eastAsia="zh-CN"/>
        </w:rPr>
        <w:t>0</w:t>
      </w:r>
      <w:r>
        <w:rPr>
          <w:rFonts w:hint="default" w:ascii="Times New Roman" w:hAnsi="Times New Roman" w:eastAsia="宋体" w:cs="Times New Roman"/>
          <w:sz w:val="21"/>
          <w:szCs w:val="21"/>
          <w:highlight w:val="none"/>
        </w:rPr>
        <w:t>μl，注入液相色谱仪，测定，即得。</w:t>
      </w:r>
    </w:p>
    <w:p w14:paraId="2A9FCBE5">
      <w:pPr>
        <w:keepNext w:val="0"/>
        <w:keepLines w:val="0"/>
        <w:pageBreakBefore w:val="0"/>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highlight w:val="none"/>
          <w:lang w:val="en-US" w:eastAsia="zh-CN"/>
        </w:rPr>
        <w:t>本品每1g含</w:t>
      </w:r>
      <w:r>
        <w:rPr>
          <w:rFonts w:hint="default" w:ascii="Times New Roman" w:hAnsi="Times New Roman" w:eastAsia="宋体" w:cs="Times New Roman"/>
          <w:sz w:val="21"/>
          <w:szCs w:val="21"/>
          <w:highlight w:val="none"/>
          <w:lang w:val="en-US" w:eastAsia="zh-CN"/>
        </w:rPr>
        <w:t>洛伐他汀</w:t>
      </w:r>
      <w:r>
        <w:rPr>
          <w:rFonts w:hint="default" w:ascii="Times New Roman" w:hAnsi="Times New Roman" w:eastAsia="宋体" w:cs="Times New Roman"/>
          <w:sz w:val="21"/>
          <w:szCs w:val="21"/>
          <w:highlight w:val="none"/>
          <w:lang w:val="en-US" w:eastAsia="zh-CN"/>
        </w:rPr>
        <w:t>（C</w:t>
      </w:r>
      <w:r>
        <w:rPr>
          <w:rFonts w:hint="default" w:ascii="Times New Roman" w:hAnsi="Times New Roman" w:eastAsia="宋体" w:cs="Times New Roman"/>
          <w:sz w:val="21"/>
          <w:szCs w:val="21"/>
          <w:highlight w:val="none"/>
          <w:vertAlign w:val="subscript"/>
          <w:lang w:val="en-US" w:eastAsia="zh-CN"/>
        </w:rPr>
        <w:t>24</w:t>
      </w:r>
      <w:r>
        <w:rPr>
          <w:rFonts w:hint="default" w:ascii="Times New Roman" w:hAnsi="Times New Roman" w:eastAsia="宋体" w:cs="Times New Roman"/>
          <w:sz w:val="21"/>
          <w:szCs w:val="21"/>
          <w:highlight w:val="none"/>
          <w:lang w:val="en-US" w:eastAsia="zh-CN"/>
        </w:rPr>
        <w:t>H</w:t>
      </w:r>
      <w:r>
        <w:rPr>
          <w:rFonts w:hint="default" w:ascii="Times New Roman" w:hAnsi="Times New Roman" w:eastAsia="宋体" w:cs="Times New Roman"/>
          <w:sz w:val="21"/>
          <w:szCs w:val="21"/>
          <w:highlight w:val="none"/>
          <w:vertAlign w:val="subscript"/>
          <w:lang w:val="en-US" w:eastAsia="zh-CN"/>
        </w:rPr>
        <w:t>36</w:t>
      </w:r>
      <w:r>
        <w:rPr>
          <w:rFonts w:hint="default" w:ascii="Times New Roman" w:hAnsi="Times New Roman" w:eastAsia="宋体" w:cs="Times New Roman"/>
          <w:sz w:val="21"/>
          <w:szCs w:val="21"/>
          <w:highlight w:val="none"/>
          <w:lang w:val="en-US" w:eastAsia="zh-CN"/>
        </w:rPr>
        <w:t>O</w:t>
      </w:r>
      <w:r>
        <w:rPr>
          <w:rFonts w:hint="default" w:ascii="Times New Roman" w:hAnsi="Times New Roman" w:eastAsia="宋体" w:cs="Times New Roman"/>
          <w:sz w:val="21"/>
          <w:szCs w:val="21"/>
          <w:highlight w:val="none"/>
          <w:vertAlign w:val="subscript"/>
          <w:lang w:val="en-US" w:eastAsia="zh-CN"/>
        </w:rPr>
        <w:t>5</w:t>
      </w:r>
      <w:r>
        <w:rPr>
          <w:rFonts w:hint="default"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含量</w:t>
      </w:r>
      <w:r>
        <w:rPr>
          <w:rFonts w:hint="default" w:ascii="Times New Roman" w:hAnsi="Times New Roman" w:eastAsia="宋体" w:cs="Times New Roman"/>
          <w:sz w:val="21"/>
          <w:szCs w:val="21"/>
          <w:highlight w:val="none"/>
        </w:rPr>
        <w:t>应在</w:t>
      </w:r>
      <w:r>
        <w:rPr>
          <w:rFonts w:hint="default" w:ascii="Times New Roman" w:hAnsi="Times New Roman" w:eastAsia="宋体" w:cs="Times New Roman"/>
          <w:sz w:val="21"/>
          <w:szCs w:val="21"/>
          <w:lang w:val="en-US" w:eastAsia="zh-CN"/>
        </w:rPr>
        <w:t>0.50mg~2.50mg。</w:t>
      </w:r>
    </w:p>
    <w:p w14:paraId="0F329EC0">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snapToGrid/>
        <w:spacing w:line="360" w:lineRule="auto"/>
        <w:ind w:firstLine="420"/>
        <w:jc w:val="both"/>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sz w:val="21"/>
          <w:szCs w:val="21"/>
        </w:rPr>
        <w:t>【</w:t>
      </w:r>
      <w:r>
        <w:rPr>
          <w:rFonts w:hint="default" w:ascii="Times New Roman" w:hAnsi="Times New Roman" w:eastAsia="宋体" w:cs="Times New Roman"/>
          <w:b/>
          <w:sz w:val="21"/>
          <w:szCs w:val="21"/>
        </w:rPr>
        <w:t>规格</w:t>
      </w:r>
      <w:r>
        <w:rPr>
          <w:rFonts w:hint="default" w:ascii="Times New Roman" w:hAnsi="Times New Roman" w:eastAsia="宋体" w:cs="Times New Roman"/>
          <w:b w:val="0"/>
          <w:bCs w:val="0"/>
          <w:sz w:val="21"/>
          <w:szCs w:val="21"/>
        </w:rPr>
        <w:t>】</w:t>
      </w:r>
      <w:r>
        <w:rPr>
          <w:rFonts w:hint="default" w:ascii="Times New Roman" w:hAnsi="Times New Roman" w:eastAsia="宋体" w:cs="Times New Roman"/>
          <w:sz w:val="21"/>
          <w:szCs w:val="21"/>
        </w:rPr>
        <w:t xml:space="preserve"> 每1g配方颗粒相当于饮片</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g</w:t>
      </w:r>
    </w:p>
    <w:p w14:paraId="2F74B5E3">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bCs w:val="0"/>
          <w:sz w:val="21"/>
          <w:szCs w:val="21"/>
          <w:lang w:eastAsia="zh-CN"/>
        </w:rPr>
        <w:t>注意</w:t>
      </w:r>
      <w:r>
        <w:rPr>
          <w:rFonts w:hint="default" w:ascii="Times New Roman" w:hAnsi="Times New Roman" w:eastAsia="宋体" w:cs="Times New Roman"/>
          <w:b w:val="0"/>
          <w:bCs/>
          <w:sz w:val="21"/>
          <w:szCs w:val="21"/>
        </w:rPr>
        <w:t>】</w:t>
      </w:r>
      <w:r>
        <w:rPr>
          <w:rFonts w:hint="default" w:ascii="Times New Roman" w:hAnsi="Times New Roman" w:eastAsia="宋体" w:cs="Times New Roman"/>
          <w:b w:val="0"/>
          <w:bCs/>
          <w:sz w:val="21"/>
          <w:szCs w:val="21"/>
          <w:lang w:val="en-US" w:eastAsia="zh-CN"/>
        </w:rPr>
        <w:t xml:space="preserve"> 孕妇慎用。</w:t>
      </w:r>
    </w:p>
    <w:p w14:paraId="1639903A">
      <w:pPr>
        <w:keepNext w:val="0"/>
        <w:keepLines w:val="0"/>
        <w:pageBreakBefore w:val="0"/>
        <w:kinsoku/>
        <w:wordWrap/>
        <w:overflowPunct/>
        <w:topLinePunct w:val="0"/>
        <w:bidi w:val="0"/>
        <w:adjustRightInd/>
        <w:snapToGrid/>
        <w:spacing w:line="360" w:lineRule="auto"/>
        <w:ind w:firstLine="42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贮藏</w:t>
      </w:r>
      <w:r>
        <w:rPr>
          <w:rFonts w:hint="default" w:ascii="Times New Roman" w:hAnsi="Times New Roman" w:eastAsia="宋体" w:cs="Times New Roman"/>
          <w:b w:val="0"/>
          <w:bCs/>
          <w:sz w:val="21"/>
          <w:szCs w:val="21"/>
        </w:rPr>
        <w:t>】</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密封。</w:t>
      </w:r>
    </w:p>
    <w:p w14:paraId="5E519EC4">
      <w:pPr>
        <w:keepNext w:val="0"/>
        <w:keepLines w:val="0"/>
        <w:pageBreakBefore w:val="0"/>
        <w:kinsoku/>
        <w:wordWrap/>
        <w:overflowPunct/>
        <w:topLinePunct w:val="0"/>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000000"/>
    <w:rsid w:val="13EA2964"/>
    <w:rsid w:val="2CC31D69"/>
    <w:rsid w:val="3C8C308A"/>
    <w:rsid w:val="3FD17C46"/>
    <w:rsid w:val="402B4AF5"/>
    <w:rsid w:val="422C0AEC"/>
    <w:rsid w:val="4846683E"/>
    <w:rsid w:val="4A941456"/>
    <w:rsid w:val="4B651B6D"/>
    <w:rsid w:val="53532E18"/>
    <w:rsid w:val="53735F67"/>
    <w:rsid w:val="57C25652"/>
    <w:rsid w:val="588E2720"/>
    <w:rsid w:val="69270DB5"/>
    <w:rsid w:val="6A5F6B20"/>
    <w:rsid w:val="6FB85968"/>
    <w:rsid w:val="725C010B"/>
    <w:rsid w:val="76AD2434"/>
    <w:rsid w:val="7CD01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8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paragraph" w:styleId="3">
    <w:name w:val="heading 2"/>
    <w:basedOn w:val="1"/>
    <w:next w:val="1"/>
    <w:unhideWhenUsed/>
    <w:qFormat/>
    <w:uiPriority w:val="9"/>
    <w:pPr>
      <w:keepNext/>
      <w:keepLines/>
      <w:spacing w:line="360" w:lineRule="auto"/>
      <w:outlineLvl w:val="1"/>
    </w:pPr>
    <w:rPr>
      <w:rFonts w:ascii="Times New Roman" w:hAnsi="Times New Roman" w:cs="Times New Roman"/>
      <w:b/>
      <w:bCs/>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宋体" w:hAnsi="宋体" w:eastAsia="宋体" w:cs="宋体"/>
      <w:sz w:val="20"/>
      <w:szCs w:val="20"/>
      <w:lang w:val="en-US" w:eastAsia="en-US" w:bidi="ar-SA"/>
    </w:rPr>
  </w:style>
  <w:style w:type="table" w:styleId="6">
    <w:name w:val="Table Grid"/>
    <w:basedOn w:val="5"/>
    <w:qFormat/>
    <w:uiPriority w:val="59"/>
    <w:pPr>
      <w:jc w:val="center"/>
    </w:pPr>
    <w:rPr>
      <w:sz w:val="18"/>
    </w:rPr>
    <w:tblPr>
      <w:tblBorders>
        <w:top w:val="single" w:color="auto" w:sz="12" w:space="0"/>
        <w:bottom w:val="single" w:color="auto" w:sz="12" w:space="0"/>
      </w:tblBorders>
      <w:tblCellMar>
        <w:top w:w="0" w:type="dxa"/>
        <w:left w:w="108" w:type="dxa"/>
        <w:bottom w:w="0" w:type="dxa"/>
        <w:right w:w="108" w:type="dxa"/>
      </w:tblCellMar>
    </w:tblPr>
    <w:tcPr>
      <w:vAlign w:val="center"/>
    </w:tcPr>
    <w:tblStylePr w:type="firstRow">
      <w:tcPr>
        <w:tcBorders>
          <w:bottom w:val="single" w:color="auto" w:sz="4" w:space="0"/>
        </w:tcBorders>
      </w:tcPr>
    </w:tblStylePr>
  </w:style>
  <w:style w:type="paragraph" w:customStyle="1" w:styleId="8">
    <w:name w:val="引用1"/>
    <w:basedOn w:val="1"/>
    <w:next w:val="1"/>
    <w:qFormat/>
    <w:uiPriority w:val="29"/>
    <w:pPr>
      <w:spacing w:line="240" w:lineRule="auto"/>
      <w:ind w:firstLine="0" w:firstLineChars="0"/>
      <w:jc w:val="center"/>
    </w:pPr>
    <w:rPr>
      <w:rFonts w:cs="Times New Roman"/>
      <w:iCs/>
      <w:color w:val="000000"/>
      <w:kern w:val="0"/>
      <w:sz w:val="18"/>
      <w:szCs w:val="20"/>
    </w:rPr>
  </w:style>
  <w:style w:type="paragraph" w:customStyle="1" w:styleId="9">
    <w:name w:val="样式2"/>
    <w:basedOn w:val="1"/>
    <w:qFormat/>
    <w:uiPriority w:val="0"/>
    <w:pPr>
      <w:ind w:firstLine="0" w:firstLineChars="0"/>
    </w:pPr>
    <w:rPr>
      <w:rFonts w:cs="Times New Roman"/>
      <w:kern w:val="0"/>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Times New Roman" w:hAnsi="Times New Roman" w:eastAsia="Times New Roman" w:cs="Times New Roman"/>
      <w:sz w:val="20"/>
      <w:szCs w:val="20"/>
      <w:lang w:val="en-US" w:eastAsia="en-US" w:bidi="ar-SA"/>
    </w:rPr>
  </w:style>
  <w:style w:type="paragraph" w:customStyle="1" w:styleId="12">
    <w:name w:val="Table Paragraph"/>
    <w:basedOn w:val="1"/>
    <w:qFormat/>
    <w:uiPriority w:val="1"/>
    <w:pPr>
      <w:spacing w:before="16"/>
      <w:ind w:left="701" w:right="722"/>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2231</Words>
  <Characters>2766</Characters>
  <Lines>0</Lines>
  <Paragraphs>0</Paragraphs>
  <TotalTime>42</TotalTime>
  <ScaleCrop>false</ScaleCrop>
  <LinksUpToDate>false</LinksUpToDate>
  <CharactersWithSpaces>2805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爱迪生1990</cp:lastModifiedBy>
  <dcterms:modified xsi:type="dcterms:W3CDTF">2024-09-13T08:47:27Z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568678F600EA496B817211AEF603BB59_13</vt:lpwstr>
  </property>
</Properties>
</file>